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/>
        <w:keepLines/>
        <w:spacing w:after="0" w:line="400" w:lineRule="exact"/>
        <w:rPr>
          <w:b/>
          <w:bCs/>
        </w:rPr>
      </w:pPr>
      <w:r>
        <w:rPr>
          <w:rFonts w:ascii="Times New Roman" w:hAnsi="Times New Roman" w:eastAsia="Times New Roman" w:cs="Times New Roman"/>
          <w:lang w:val="en-US" w:eastAsia="en-US" w:bidi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11836400</wp:posOffset>
            </wp:positionH>
            <wp:positionV relativeFrom="topMargin">
              <wp:posOffset>12598400</wp:posOffset>
            </wp:positionV>
            <wp:extent cx="304800" cy="279400"/>
            <wp:effectExtent l="0" t="0" r="0" b="6350"/>
            <wp:wrapNone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bookmark2"/>
      <w:bookmarkStart w:id="1" w:name="bookmark0"/>
      <w:bookmarkStart w:id="2" w:name="bookmark1"/>
      <w:r>
        <w:rPr>
          <w:rFonts w:ascii="Times New Roman" w:hAnsi="Times New Roman" w:eastAsia="Times New Roman" w:cs="Times New Roman"/>
          <w:lang w:val="en-US" w:eastAsia="en-US" w:bidi="en-US"/>
        </w:rPr>
        <w:t xml:space="preserve">2021 </w:t>
      </w:r>
      <w:r>
        <w:rPr>
          <w:rFonts w:hint="eastAsia" w:ascii="Times New Roman" w:hAnsi="Times New Roman" w:cs="Times New Roman"/>
          <w:lang w:val="en-US" w:eastAsia="zh-CN" w:bidi="en-US"/>
        </w:rPr>
        <w:t>~</w:t>
      </w:r>
      <w:r>
        <w:rPr>
          <w:rFonts w:ascii="Times New Roman" w:hAnsi="Times New Roman" w:eastAsia="Times New Roman" w:cs="Times New Roman"/>
          <w:lang w:val="en-US" w:eastAsia="en-US" w:bidi="en-US"/>
        </w:rPr>
        <w:t>2022</w:t>
      </w:r>
      <w:r>
        <w:t>学年度</w:t>
      </w:r>
      <w:bookmarkEnd w:id="0"/>
      <w:bookmarkStart w:id="3" w:name="bookmark3"/>
      <w:r>
        <w:rPr>
          <w:b/>
          <w:bCs/>
        </w:rPr>
        <w:t>高三历史试题</w:t>
      </w:r>
      <w:bookmarkEnd w:id="1"/>
      <w:bookmarkEnd w:id="2"/>
      <w:bookmarkEnd w:id="3"/>
    </w:p>
    <w:p>
      <w:pPr>
        <w:spacing w:line="400" w:lineRule="exact"/>
        <w:jc w:val="center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t>（考试时间：75分钟；满分：100分）</w:t>
      </w:r>
    </w:p>
    <w:p>
      <w:pPr>
        <w:spacing w:line="400" w:lineRule="exac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一、选择题：本大题共16小题，每小题3分，共计48分。在每小题列岀的四个选项中， 只有一项最符合题目要求。</w:t>
      </w:r>
    </w:p>
    <w:p>
      <w:p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1.春秋前期，体现礼乐文明的歌诗活动，成为社交场合不可或缺的重要内容。以《诗》为 媒介展开外交，是诸侯国之间的重要政治活动，《左传》关于诸侯国间的赋诗外交有“歌诗必类”（“类”即相近、相通）的记载。材料意在说明春秋前期</w:t>
      </w:r>
    </w:p>
    <w:p>
      <w:p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A.分封制和礼乐制互为表里</w:t>
      </w:r>
      <w:r>
        <w:rPr>
          <w:rFonts w:hint="eastAsia" w:eastAsia="宋体"/>
          <w:sz w:val="28"/>
          <w:szCs w:val="28"/>
          <w:lang w:eastAsia="zh-CN"/>
        </w:rPr>
        <w:t xml:space="preserve">       </w:t>
      </w:r>
      <w:r>
        <w:rPr>
          <w:sz w:val="28"/>
          <w:szCs w:val="28"/>
        </w:rPr>
        <w:tab/>
      </w:r>
      <w:r>
        <w:rPr>
          <w:sz w:val="28"/>
          <w:szCs w:val="28"/>
        </w:rPr>
        <w:t>B.诸侯国邦交寻求礼乐认同</w:t>
      </w:r>
    </w:p>
    <w:p>
      <w:p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C.《诗经》成为官方教科书</w:t>
      </w:r>
      <w:r>
        <w:rPr>
          <w:sz w:val="28"/>
          <w:szCs w:val="28"/>
        </w:rPr>
        <w:tab/>
      </w:r>
      <w:r>
        <w:rPr>
          <w:rFonts w:hint="eastAsia" w:eastAsia="宋体"/>
          <w:sz w:val="28"/>
          <w:szCs w:val="28"/>
          <w:lang w:eastAsia="zh-CN"/>
        </w:rPr>
        <w:t xml:space="preserve">         </w:t>
      </w:r>
      <w:r>
        <w:rPr>
          <w:sz w:val="28"/>
          <w:szCs w:val="28"/>
        </w:rPr>
        <w:t>D.礼崩乐坏的局面已经出现</w:t>
      </w:r>
    </w:p>
    <w:p>
      <w:p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2.汉代法律中特设了 “取息过律”罪，把放高利贷视为严重的犯罪，并予以严惩。汉武帝 元鼎元年（公元前116年），旁光侯刘股犯“取息过律”罪，被免除了爵位。这主要反映了汉代政府</w:t>
      </w:r>
    </w:p>
    <w:p>
      <w:p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A.打击侵占他人财产的行为</w:t>
      </w:r>
      <w:r>
        <w:rPr>
          <w:sz w:val="28"/>
          <w:szCs w:val="28"/>
        </w:rPr>
        <w:tab/>
      </w:r>
      <w:r>
        <w:rPr>
          <w:rFonts w:hint="eastAsia" w:eastAsia="宋体"/>
          <w:sz w:val="28"/>
          <w:szCs w:val="28"/>
          <w:lang w:eastAsia="zh-CN"/>
        </w:rPr>
        <w:t xml:space="preserve">           </w:t>
      </w:r>
      <w:r>
        <w:rPr>
          <w:sz w:val="28"/>
          <w:szCs w:val="28"/>
        </w:rPr>
        <w:t>B.推行重农抑商政策</w:t>
      </w:r>
    </w:p>
    <w:p>
      <w:p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C.竭力削弱王侯的经济实力</w:t>
      </w:r>
      <w:r>
        <w:rPr>
          <w:sz w:val="28"/>
          <w:szCs w:val="28"/>
        </w:rPr>
        <w:tab/>
      </w:r>
      <w:r>
        <w:rPr>
          <w:rFonts w:hint="eastAsia" w:eastAsia="宋体"/>
          <w:sz w:val="28"/>
          <w:szCs w:val="28"/>
          <w:lang w:eastAsia="zh-CN"/>
        </w:rPr>
        <w:t xml:space="preserve">           </w:t>
      </w:r>
      <w:r>
        <w:rPr>
          <w:sz w:val="28"/>
          <w:szCs w:val="28"/>
        </w:rPr>
        <w:t>D.抑制豪强地主发展</w:t>
      </w:r>
    </w:p>
    <w:p>
      <w:p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3.宋开宝元年，开国功臣、户部尚书陶谷的儿子陶</w:t>
      </w:r>
      <w:r>
        <w:rPr>
          <w:rFonts w:ascii="Arial" w:hAnsi="Arial" w:eastAsia="宋体" w:cs="Arial"/>
          <w:color w:val="222222"/>
          <w:sz w:val="28"/>
          <w:szCs w:val="28"/>
          <w:shd w:val="clear" w:color="auto" w:fill="FFFFFF"/>
        </w:rPr>
        <w:t>邴</w:t>
      </w:r>
      <w:r>
        <w:rPr>
          <w:sz w:val="28"/>
          <w:szCs w:val="28"/>
        </w:rPr>
        <w:t>高中第六名。考试后，太祖令参知政事薛居正对其进行复试，合格后乃赐及第，并下诏规定，凡是官二代考科举必须在中进 士后进行复试。宋太祖此举</w:t>
      </w:r>
    </w:p>
    <w:p>
      <w:p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A.防范权贵对皇权的威胁</w:t>
      </w:r>
      <w:r>
        <w:rPr>
          <w:sz w:val="28"/>
          <w:szCs w:val="28"/>
        </w:rPr>
        <w:tab/>
      </w:r>
      <w:r>
        <w:rPr>
          <w:rFonts w:hint="eastAsia" w:eastAsia="宋体"/>
          <w:sz w:val="28"/>
          <w:szCs w:val="28"/>
          <w:lang w:eastAsia="zh-CN"/>
        </w:rPr>
        <w:t xml:space="preserve">           </w:t>
      </w:r>
      <w:r>
        <w:rPr>
          <w:sz w:val="28"/>
          <w:szCs w:val="28"/>
        </w:rPr>
        <w:t>B.促进北宋社会阶层固化</w:t>
      </w:r>
    </w:p>
    <w:p>
      <w:p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C.激化统治阶级内部矛盾</w:t>
      </w:r>
      <w:r>
        <w:rPr>
          <w:sz w:val="28"/>
          <w:szCs w:val="28"/>
        </w:rPr>
        <w:tab/>
      </w:r>
      <w:r>
        <w:rPr>
          <w:rFonts w:hint="eastAsia" w:eastAsia="宋体"/>
          <w:sz w:val="28"/>
          <w:szCs w:val="28"/>
          <w:lang w:eastAsia="zh-CN"/>
        </w:rPr>
        <w:t xml:space="preserve">           </w:t>
      </w:r>
      <w:r>
        <w:rPr>
          <w:sz w:val="28"/>
          <w:szCs w:val="28"/>
        </w:rPr>
        <w:t>D.实现了科举的公平公正</w:t>
      </w:r>
    </w:p>
    <w:p>
      <w:p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4.王阳明提出“致良知”，要求人们应在“过与不及之处”多下功夫以致“中和”，并使美丑、善恶自融，显现出“吾心自有光明月，千古团圆水无缺”心灵莹彻的“至乐”境界。这说明王阳明</w:t>
      </w:r>
    </w:p>
    <w:p>
      <w:p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A.提倡“存夭理、灭人欲”</w:t>
      </w:r>
      <w:r>
        <w:rPr>
          <w:sz w:val="28"/>
          <w:szCs w:val="28"/>
        </w:rPr>
        <w:tab/>
      </w:r>
      <w:r>
        <w:rPr>
          <w:rFonts w:hint="eastAsia" w:eastAsia="宋体"/>
          <w:sz w:val="28"/>
          <w:szCs w:val="28"/>
          <w:lang w:eastAsia="zh-CN"/>
        </w:rPr>
        <w:t xml:space="preserve">          </w:t>
      </w:r>
      <w:r>
        <w:rPr>
          <w:sz w:val="28"/>
          <w:szCs w:val="28"/>
        </w:rPr>
        <w:t>B.追求个性解放和离经叛道</w:t>
      </w:r>
    </w:p>
    <w:p>
      <w:p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C.强调人的自我修养和价值</w:t>
      </w:r>
      <w:r>
        <w:rPr>
          <w:sz w:val="28"/>
          <w:szCs w:val="28"/>
        </w:rPr>
        <w:tab/>
      </w:r>
      <w:r>
        <w:rPr>
          <w:rFonts w:hint="eastAsia" w:eastAsia="宋体"/>
          <w:sz w:val="28"/>
          <w:szCs w:val="28"/>
          <w:lang w:eastAsia="zh-CN"/>
        </w:rPr>
        <w:t xml:space="preserve">          </w:t>
      </w:r>
      <w:r>
        <w:rPr>
          <w:sz w:val="28"/>
          <w:szCs w:val="28"/>
        </w:rPr>
        <w:t>D.颠覆程朱理学的正统地位</w:t>
      </w:r>
    </w:p>
    <w:p>
      <w:pPr>
        <w:pStyle w:val="6"/>
        <w:spacing w:line="310" w:lineRule="exact"/>
        <w:ind w:left="200" w:hanging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5</w:t>
      </w:r>
      <w:r>
        <w:rPr>
          <w:rFonts w:hint="eastAsia" w:ascii="Times New Roman" w:hAnsi="Times New Roman" w:cs="Times New Roman"/>
          <w:sz w:val="28"/>
          <w:szCs w:val="28"/>
          <w:lang w:val="en-US" w:eastAsia="zh-CN" w:bidi="en-US"/>
        </w:rPr>
        <w:t>.</w:t>
      </w:r>
      <w:r>
        <w:rPr>
          <w:rFonts w:ascii="Times New Roman" w:hAnsi="Times New Roman" w:cs="Times New Roman"/>
          <w:sz w:val="28"/>
          <w:szCs w:val="28"/>
        </w:rPr>
        <w:t>明代江南蚕桑生产的发展促使以蚕桑生产为主业的市镇岀现，这类市镇还在江南乡村蚕 神祭祀中扮演重要作用，蚕神祭祀逐渐成为江南地方庙会中一项重要的民俗活动。由此 可知</w:t>
      </w:r>
    </w:p>
    <w:p>
      <w:pPr>
        <w:pStyle w:val="6"/>
        <w:tabs>
          <w:tab w:val="left" w:pos="4549"/>
        </w:tabs>
        <w:spacing w:line="310" w:lineRule="exact"/>
        <w:ind w:firstLine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A.</w:t>
      </w:r>
      <w:r>
        <w:rPr>
          <w:rFonts w:ascii="Times New Roman" w:hAnsi="Times New Roman" w:cs="Times New Roman"/>
          <w:sz w:val="28"/>
          <w:szCs w:val="28"/>
        </w:rPr>
        <w:t>经济发展影响民俗文化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B.</w:t>
      </w:r>
      <w:r>
        <w:rPr>
          <w:rFonts w:ascii="Times New Roman" w:hAnsi="Times New Roman" w:cs="Times New Roman"/>
          <w:sz w:val="28"/>
          <w:szCs w:val="28"/>
        </w:rPr>
        <w:t>市镇商业功能十分突出</w:t>
      </w:r>
    </w:p>
    <w:p>
      <w:pPr>
        <w:pStyle w:val="6"/>
        <w:tabs>
          <w:tab w:val="left" w:pos="4549"/>
        </w:tabs>
        <w:spacing w:line="310" w:lineRule="exact"/>
        <w:ind w:firstLine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C.</w:t>
      </w:r>
      <w:r>
        <w:rPr>
          <w:rFonts w:ascii="Times New Roman" w:hAnsi="Times New Roman" w:cs="Times New Roman"/>
          <w:sz w:val="28"/>
          <w:szCs w:val="28"/>
        </w:rPr>
        <w:t>市镇发展取代乡村地位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D.</w:t>
      </w:r>
      <w:r>
        <w:rPr>
          <w:rFonts w:ascii="Times New Roman" w:hAnsi="Times New Roman" w:cs="Times New Roman"/>
          <w:sz w:val="28"/>
          <w:szCs w:val="28"/>
        </w:rPr>
        <w:t>神灵崇拜制约商业发展</w:t>
      </w:r>
    </w:p>
    <w:p>
      <w:pPr>
        <w:pStyle w:val="6"/>
        <w:spacing w:line="310" w:lineRule="exact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6.</w:t>
      </w:r>
      <w:r>
        <w:rPr>
          <w:rFonts w:ascii="Times New Roman" w:hAnsi="Times New Roman" w:cs="Times New Roman"/>
          <w:sz w:val="28"/>
          <w:szCs w:val="28"/>
        </w:rPr>
        <w:t>表</w:t>
      </w:r>
      <w:r>
        <w:rPr>
          <w:rFonts w:ascii="Times New Roman" w:hAnsi="Times New Roman" w:eastAsia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是关于太平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天</w:t>
      </w:r>
      <w:r>
        <w:rPr>
          <w:rFonts w:ascii="Times New Roman" w:hAnsi="Times New Roman" w:cs="Times New Roman"/>
          <w:sz w:val="28"/>
          <w:szCs w:val="28"/>
        </w:rPr>
        <w:t xml:space="preserve">国运动的不同评价。这反映了 </w:t>
      </w:r>
      <w:r>
        <w:rPr>
          <w:rFonts w:ascii="Times New Roman" w:hAnsi="Times New Roman" w:cs="Times New Roman"/>
          <w:sz w:val="28"/>
          <w:szCs w:val="28"/>
          <w:lang w:val="en-US" w:eastAsia="en-US" w:bidi="en-US"/>
        </w:rPr>
        <w:t>.</w:t>
      </w:r>
    </w:p>
    <w:p>
      <w:pPr>
        <w:pStyle w:val="7"/>
        <w:spacing w:after="0"/>
        <w:rPr>
          <w:sz w:val="28"/>
          <w:szCs w:val="28"/>
        </w:rPr>
      </w:pPr>
      <w:r>
        <w:rPr>
          <w:rFonts w:eastAsia="宋体"/>
          <w:sz w:val="28"/>
          <w:szCs w:val="28"/>
        </w:rPr>
        <w:t>表</w:t>
      </w:r>
      <w:r>
        <w:rPr>
          <w:sz w:val="28"/>
          <w:szCs w:val="28"/>
        </w:rPr>
        <w:t>1</w:t>
      </w:r>
    </w:p>
    <w:tbl>
      <w:tblPr>
        <w:tblStyle w:val="3"/>
        <w:tblW w:w="0" w:type="auto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260"/>
        <w:gridCol w:w="7895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14" w:hRule="exact"/>
          <w:jc w:val="center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清朝政府</w:t>
            </w:r>
          </w:p>
        </w:tc>
        <w:tc>
          <w:tcPr>
            <w:tcW w:w="789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pStyle w:val="8"/>
              <w:spacing w:line="302" w:lineRule="exact"/>
              <w:ind w:left="200" w:hanging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刊行《钦定剿平粤匪方略》、《湘军志》等著述，斥洪秀全等人为</w:t>
            </w:r>
            <w:r>
              <w:rPr>
                <w:rFonts w:ascii="Times New Roman" w:hAnsi="Times New Roman" w:cs="Times New Roman"/>
                <w:sz w:val="28"/>
                <w:szCs w:val="28"/>
                <w:lang w:val="zh-CN" w:eastAsia="zh-CN" w:bidi="zh-CN"/>
              </w:rPr>
              <w:t>“匪” “贼” “逆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”，竭尽攻击诬蔑之能事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62" w:hRule="exact"/>
          <w:jc w:val="center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</w:tcPr>
          <w:p>
            <w:pPr>
              <w:pStyle w:val="8"/>
              <w:spacing w:line="324" w:lineRule="exact"/>
              <w:ind w:left="180" w:firstLine="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孙中山等革命党人</w:t>
            </w:r>
          </w:p>
        </w:tc>
        <w:tc>
          <w:tcPr>
            <w:tcW w:w="7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pStyle w:val="8"/>
              <w:spacing w:line="317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在著述中使用</w:t>
            </w:r>
            <w:r>
              <w:rPr>
                <w:rFonts w:ascii="Times New Roman" w:hAnsi="Times New Roman" w:cs="Times New Roman"/>
                <w:sz w:val="28"/>
                <w:szCs w:val="28"/>
                <w:lang w:val="zh-CN" w:eastAsia="zh-CN" w:bidi="zh-CN"/>
              </w:rPr>
              <w:t>“广西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金田村起义” </w:t>
            </w:r>
            <w:r>
              <w:rPr>
                <w:rFonts w:ascii="Times New Roman" w:hAnsi="Times New Roman" w:cs="Times New Roman"/>
                <w:sz w:val="28"/>
                <w:szCs w:val="28"/>
                <w:lang w:val="zh-CN" w:eastAsia="zh-CN" w:bidi="zh-CN"/>
              </w:rPr>
              <w:t>“金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田军起义” </w:t>
            </w:r>
            <w:r>
              <w:rPr>
                <w:rFonts w:ascii="Times New Roman" w:hAnsi="Times New Roman" w:cs="Times New Roman"/>
                <w:sz w:val="28"/>
                <w:szCs w:val="28"/>
                <w:lang w:val="zh-CN" w:eastAsia="zh-CN" w:bidi="zh-CN"/>
              </w:rPr>
              <w:t>“广西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起义”等概 念，赞许洪秀全</w:t>
            </w:r>
            <w:r>
              <w:rPr>
                <w:rFonts w:ascii="Times New Roman" w:hAnsi="Times New Roman" w:cs="Times New Roman"/>
                <w:sz w:val="28"/>
                <w:szCs w:val="28"/>
                <w:lang w:val="zh-CN" w:eastAsia="zh-CN" w:bidi="zh-CN"/>
              </w:rPr>
              <w:t>“起自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布衣，提三尺剑，驱逐异胡，即位于南京”</w:t>
            </w:r>
          </w:p>
        </w:tc>
      </w:tr>
    </w:tbl>
    <w:p>
      <w:pPr>
        <w:pStyle w:val="6"/>
        <w:tabs>
          <w:tab w:val="left" w:pos="4549"/>
        </w:tabs>
        <w:spacing w:line="318" w:lineRule="exact"/>
        <w:ind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A.</w:t>
      </w:r>
      <w:r>
        <w:rPr>
          <w:rFonts w:ascii="Times New Roman" w:hAnsi="Times New Roman" w:cs="Times New Roman"/>
          <w:sz w:val="28"/>
          <w:szCs w:val="28"/>
        </w:rPr>
        <w:t>历史评价无法做到公正客观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B.</w:t>
      </w:r>
      <w:r>
        <w:rPr>
          <w:rFonts w:ascii="Times New Roman" w:hAnsi="Times New Roman" w:cs="Times New Roman"/>
          <w:sz w:val="28"/>
          <w:szCs w:val="28"/>
        </w:rPr>
        <w:t>阶级立场不同影响历史评价</w:t>
      </w:r>
    </w:p>
    <w:p>
      <w:pPr>
        <w:pStyle w:val="6"/>
        <w:tabs>
          <w:tab w:val="left" w:pos="4549"/>
        </w:tabs>
        <w:spacing w:line="318" w:lineRule="exact"/>
        <w:ind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C.</w:t>
      </w:r>
      <w:r>
        <w:rPr>
          <w:rFonts w:ascii="Times New Roman" w:hAnsi="Times New Roman" w:cs="Times New Roman"/>
          <w:sz w:val="28"/>
          <w:szCs w:val="28"/>
        </w:rPr>
        <w:t>文献资料需与实物史料互证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D.</w:t>
      </w:r>
      <w:r>
        <w:rPr>
          <w:rFonts w:ascii="Times New Roman" w:hAnsi="Times New Roman" w:cs="Times New Roman"/>
          <w:sz w:val="28"/>
          <w:szCs w:val="28"/>
        </w:rPr>
        <w:t>不同评价都是历史事实呈现</w:t>
      </w:r>
    </w:p>
    <w:p>
      <w:pPr>
        <w:pStyle w:val="6"/>
        <w:tabs>
          <w:tab w:val="left" w:pos="351"/>
        </w:tabs>
        <w:spacing w:line="318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4" w:name="bookmark16"/>
      <w:bookmarkEnd w:id="4"/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7.</w:t>
      </w:r>
      <w:r>
        <w:rPr>
          <w:rFonts w:ascii="Times New Roman" w:hAnsi="Times New Roman" w:eastAsia="Times New Roman" w:cs="Times New Roman"/>
          <w:sz w:val="28"/>
          <w:szCs w:val="28"/>
        </w:rPr>
        <w:t>1918</w:t>
      </w:r>
      <w:r>
        <w:rPr>
          <w:rFonts w:ascii="Times New Roman" w:hAnsi="Times New Roman" w:cs="Times New Roman"/>
          <w:sz w:val="28"/>
          <w:szCs w:val="28"/>
        </w:rPr>
        <w:t>年</w:t>
      </w:r>
      <w:r>
        <w:rPr>
          <w:rFonts w:ascii="Times New Roman" w:hAnsi="Times New Roman" w:eastAsia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月</w:t>
      </w:r>
      <w:r>
        <w:rPr>
          <w:rFonts w:ascii="Times New Roman" w:hAnsi="Times New Roman" w:eastAsia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日，《新青年》杂志六大主编中的钱玄同和刘半农，导演了一出双簧 戏：钱玄同假“王敬轩”之名，用文言文形式对主张新文化的人进行攻击；而刘半农 则以《新青年》记者名义对王敬轩所提出的观点逐一加以驳斥。这出</w:t>
      </w:r>
      <w:r>
        <w:rPr>
          <w:rFonts w:ascii="Times New Roman" w:hAnsi="Times New Roman" w:cs="Times New Roman"/>
          <w:sz w:val="28"/>
          <w:szCs w:val="28"/>
          <w:lang w:val="zh-CN" w:eastAsia="zh-CN" w:bidi="zh-CN"/>
        </w:rPr>
        <w:t>“双</w:t>
      </w:r>
      <w:r>
        <w:rPr>
          <w:rFonts w:ascii="Times New Roman" w:hAnsi="Times New Roman" w:cs="Times New Roman"/>
          <w:sz w:val="28"/>
          <w:szCs w:val="28"/>
        </w:rPr>
        <w:t>簧戏”</w:t>
      </w:r>
    </w:p>
    <w:p>
      <w:pPr>
        <w:pStyle w:val="6"/>
        <w:tabs>
          <w:tab w:val="left" w:pos="4549"/>
        </w:tabs>
        <w:spacing w:line="318" w:lineRule="exact"/>
        <w:ind w:firstLine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A.</w:t>
      </w:r>
      <w:r>
        <w:rPr>
          <w:rFonts w:ascii="Times New Roman" w:hAnsi="Times New Roman" w:cs="Times New Roman"/>
          <w:sz w:val="28"/>
          <w:szCs w:val="28"/>
        </w:rPr>
        <w:t>奏响了清朝统治的挽歌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B.</w:t>
      </w:r>
      <w:r>
        <w:rPr>
          <w:rFonts w:ascii="Times New Roman" w:hAnsi="Times New Roman" w:cs="Times New Roman"/>
          <w:sz w:val="28"/>
          <w:szCs w:val="28"/>
        </w:rPr>
        <w:t>揭开了文学革命的序幕</w:t>
      </w:r>
    </w:p>
    <w:p>
      <w:pPr>
        <w:pStyle w:val="6"/>
        <w:tabs>
          <w:tab w:val="left" w:pos="4549"/>
        </w:tabs>
        <w:spacing w:line="318" w:lineRule="exact"/>
        <w:ind w:firstLine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C.</w:t>
      </w:r>
      <w:r>
        <w:rPr>
          <w:rFonts w:ascii="Times New Roman" w:hAnsi="Times New Roman" w:cs="Times New Roman"/>
          <w:sz w:val="28"/>
          <w:szCs w:val="28"/>
        </w:rPr>
        <w:t>反映新文化阵营的分化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D.</w:t>
      </w:r>
      <w:r>
        <w:rPr>
          <w:rFonts w:ascii="Times New Roman" w:hAnsi="Times New Roman" w:cs="Times New Roman"/>
          <w:sz w:val="28"/>
          <w:szCs w:val="28"/>
        </w:rPr>
        <w:t>推动新文化主张的传播</w:t>
      </w:r>
    </w:p>
    <w:p>
      <w:pPr>
        <w:pStyle w:val="6"/>
        <w:tabs>
          <w:tab w:val="left" w:pos="351"/>
        </w:tabs>
        <w:spacing w:line="318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5" w:name="bookmark17"/>
      <w:bookmarkEnd w:id="5"/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8.</w:t>
      </w:r>
      <w:r>
        <w:rPr>
          <w:rFonts w:ascii="Times New Roman" w:hAnsi="Times New Roman" w:eastAsia="Times New Roman" w:cs="Times New Roman"/>
          <w:sz w:val="28"/>
          <w:szCs w:val="28"/>
        </w:rPr>
        <w:t>1946</w:t>
      </w:r>
      <w:r>
        <w:rPr>
          <w:rFonts w:ascii="Times New Roman" w:hAnsi="Times New Roman" w:cs="Times New Roman"/>
          <w:sz w:val="28"/>
          <w:szCs w:val="28"/>
        </w:rPr>
        <w:t>年</w:t>
      </w:r>
      <w:r>
        <w:rPr>
          <w:rFonts w:ascii="Times New Roman" w:hAnsi="Times New Roman" w:eastAsia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月，《人民日报》刊登《蒋军猛犯苏皖解放区，我军反击恢复泰兴》一文报 道说：</w:t>
      </w:r>
      <w:r>
        <w:rPr>
          <w:rFonts w:ascii="Times New Roman" w:hAnsi="Times New Roman" w:cs="Times New Roman"/>
          <w:sz w:val="28"/>
          <w:szCs w:val="28"/>
          <w:lang w:val="zh-CN" w:eastAsia="zh-CN" w:bidi="zh-CN"/>
        </w:rPr>
        <w:t>“此</w:t>
      </w:r>
      <w:r>
        <w:rPr>
          <w:rFonts w:ascii="Times New Roman" w:hAnsi="Times New Roman" w:cs="Times New Roman"/>
          <w:sz w:val="28"/>
          <w:szCs w:val="28"/>
        </w:rPr>
        <w:t>次该城为新四军再度解放，人民欢喜若狂，相祝重见夭日，现正积极协助民 主政府迅速恢复秩序中。”该报道</w:t>
      </w:r>
    </w:p>
    <w:p>
      <w:pPr>
        <w:pStyle w:val="6"/>
        <w:tabs>
          <w:tab w:val="left" w:pos="4549"/>
        </w:tabs>
        <w:spacing w:line="318" w:lineRule="exact"/>
        <w:ind w:firstLine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A.</w:t>
      </w:r>
      <w:r>
        <w:rPr>
          <w:rFonts w:ascii="Times New Roman" w:hAnsi="Times New Roman" w:cs="Times New Roman"/>
          <w:sz w:val="28"/>
          <w:szCs w:val="28"/>
        </w:rPr>
        <w:t>标志解放战争转入战略反攻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B.</w:t>
      </w:r>
      <w:r>
        <w:rPr>
          <w:rFonts w:ascii="Times New Roman" w:hAnsi="Times New Roman" w:cs="Times New Roman"/>
          <w:sz w:val="28"/>
          <w:szCs w:val="28"/>
        </w:rPr>
        <w:t>表明国民党的主力已被消灭</w:t>
      </w:r>
    </w:p>
    <w:p>
      <w:pPr>
        <w:pStyle w:val="6"/>
        <w:tabs>
          <w:tab w:val="left" w:pos="4549"/>
        </w:tabs>
        <w:spacing w:line="318" w:lineRule="exact"/>
        <w:ind w:firstLine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C.</w:t>
      </w:r>
      <w:r>
        <w:rPr>
          <w:rFonts w:ascii="Times New Roman" w:hAnsi="Times New Roman" w:cs="Times New Roman"/>
          <w:sz w:val="28"/>
          <w:szCs w:val="28"/>
        </w:rPr>
        <w:t>说明渡江战役条件已经成熟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D.</w:t>
      </w:r>
      <w:r>
        <w:rPr>
          <w:rFonts w:ascii="Times New Roman" w:hAnsi="Times New Roman" w:cs="Times New Roman"/>
          <w:sz w:val="28"/>
          <w:szCs w:val="28"/>
        </w:rPr>
        <w:t>坚定了人民解放得胜的信念</w:t>
      </w: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.图</w:t>
      </w:r>
      <w:r>
        <w:rPr>
          <w:rFonts w:ascii="Times New Roman" w:hAnsi="Times New Roman" w:eastAsia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是</w:t>
      </w:r>
      <w:r>
        <w:rPr>
          <w:rFonts w:ascii="Times New Roman" w:hAnsi="Times New Roman" w:eastAsia="Times New Roman" w:cs="Times New Roman"/>
          <w:sz w:val="28"/>
          <w:szCs w:val="28"/>
        </w:rPr>
        <w:t>1964</w:t>
      </w:r>
      <w:r>
        <w:rPr>
          <w:rFonts w:ascii="Times New Roman" w:hAnsi="Times New Roman" w:cs="Times New Roman"/>
          <w:sz w:val="28"/>
          <w:szCs w:val="28"/>
        </w:rPr>
        <w:t>年出版的《奋发图强，争取农业大丰收》宣传画：一位强壮的男社员，在脱粒机旁，手捧着倾泻而下的谷子，笑逐颜开。该作品旨在</w:t>
      </w: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  <w:r>
        <w:rPr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1178560</wp:posOffset>
            </wp:positionH>
            <wp:positionV relativeFrom="paragraph">
              <wp:posOffset>35560</wp:posOffset>
            </wp:positionV>
            <wp:extent cx="4236720" cy="2978150"/>
            <wp:effectExtent l="0" t="0" r="0" b="8890"/>
            <wp:wrapTight wrapText="bothSides">
              <wp:wrapPolygon>
                <wp:start x="0" y="0"/>
                <wp:lineTo x="0" y="21443"/>
                <wp:lineTo x="21522" y="21443"/>
                <wp:lineTo x="21522" y="0"/>
                <wp:lineTo x="0" y="0"/>
              </wp:wrapPolygon>
            </wp:wrapTight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spacing w:line="318" w:lineRule="exact"/>
        <w:ind w:firstLine="0"/>
        <w:jc w:val="center"/>
        <w:rPr>
          <w:rFonts w:ascii="Times New Roman" w:hAnsi="Times New Roman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图1</w:t>
      </w: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A.倡导农村进行社会主义改造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B.激励农民投身社会主义建设</w:t>
      </w: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C.宣传国民经济建设调整政策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D.赞扬包产到户取得显著成效</w:t>
      </w:r>
    </w:p>
    <w:p>
      <w:pPr>
        <w:pStyle w:val="6"/>
        <w:tabs>
          <w:tab w:val="left" w:pos="4520"/>
        </w:tabs>
        <w:spacing w:line="312" w:lineRule="exact"/>
        <w:ind w:left="180" w:hanging="18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10.1963-1964年，中国与当时尚未建立外交关系的阿根廷、乌拉圭、巴西3个国家开展了足球交流活动。1964年10月，墨西哥体联主席兼奥委会主席何塞•赫苏斯•克拉克率团访问北京、广州，</w:t>
      </w:r>
      <w:r>
        <w:rPr>
          <w:sz w:val="28"/>
          <w:szCs w:val="28"/>
        </w:rPr>
        <w:t xml:space="preserve">周恩来总理和陈毅副总理接见了代表团。该时期我国的体育交流活动 </w:t>
      </w:r>
    </w:p>
    <w:p>
      <w:pPr>
        <w:pStyle w:val="6"/>
        <w:tabs>
          <w:tab w:val="left" w:pos="4520"/>
        </w:tabs>
        <w:spacing w:line="312" w:lineRule="exact"/>
        <w:ind w:left="180" w:hanging="180"/>
        <w:jc w:val="both"/>
        <w:rPr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A.</w:t>
      </w:r>
      <w:r>
        <w:rPr>
          <w:sz w:val="28"/>
          <w:szCs w:val="28"/>
        </w:rPr>
        <w:t>体现了</w:t>
      </w:r>
      <w:r>
        <w:rPr>
          <w:sz w:val="28"/>
          <w:szCs w:val="28"/>
          <w:lang w:val="zh-CN" w:eastAsia="zh-CN" w:bidi="zh-CN"/>
        </w:rPr>
        <w:t>“一</w:t>
      </w:r>
      <w:r>
        <w:rPr>
          <w:sz w:val="28"/>
          <w:szCs w:val="28"/>
        </w:rPr>
        <w:t>边倒”的外交原则</w:t>
      </w:r>
      <w:r>
        <w:rPr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B.</w:t>
      </w:r>
      <w:r>
        <w:rPr>
          <w:sz w:val="28"/>
          <w:szCs w:val="28"/>
        </w:rPr>
        <w:t>为和平共处五项原则提出奠基</w:t>
      </w:r>
    </w:p>
    <w:p>
      <w:pPr>
        <w:pStyle w:val="6"/>
        <w:tabs>
          <w:tab w:val="left" w:pos="4520"/>
        </w:tabs>
        <w:spacing w:line="312" w:lineRule="exact"/>
        <w:ind w:firstLine="0"/>
        <w:jc w:val="both"/>
        <w:rPr>
          <w:sz w:val="28"/>
          <w:szCs w:val="28"/>
        </w:rPr>
      </w:pPr>
      <w:bookmarkStart w:id="6" w:name="bookmark19"/>
      <w:bookmarkEnd w:id="6"/>
      <w:r>
        <w:rPr>
          <w:rFonts w:ascii="Times New Roman" w:hAnsi="Times New Roman" w:cs="Times New Roman"/>
          <w:sz w:val="28"/>
          <w:szCs w:val="28"/>
          <w:lang w:val="en-US" w:eastAsia="zh-CN"/>
        </w:rPr>
        <w:t>C.</w:t>
      </w:r>
      <w:r>
        <w:rPr>
          <w:rFonts w:ascii="Times New Roman" w:hAnsi="Times New Roman" w:cs="Times New Roman"/>
          <w:sz w:val="28"/>
          <w:szCs w:val="28"/>
        </w:rPr>
        <w:t>客</w:t>
      </w:r>
      <w:r>
        <w:rPr>
          <w:sz w:val="28"/>
          <w:szCs w:val="28"/>
        </w:rPr>
        <w:t>观上推动了中美关系正常化</w:t>
      </w:r>
      <w:r>
        <w:rPr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D.</w:t>
      </w:r>
      <w:r>
        <w:rPr>
          <w:sz w:val="28"/>
          <w:szCs w:val="28"/>
        </w:rPr>
        <w:t>有利于改善当时中国外交环境</w:t>
      </w:r>
    </w:p>
    <w:p>
      <w:pPr>
        <w:pStyle w:val="6"/>
        <w:spacing w:after="60" w:line="312" w:lineRule="exact"/>
        <w:ind w:firstLine="0"/>
        <w:jc w:val="both"/>
        <w:rPr>
          <w:sz w:val="28"/>
          <w:szCs w:val="28"/>
        </w:rPr>
      </w:pPr>
      <w:r>
        <w:rPr>
          <w:sz w:val="24"/>
          <w:szCs w:val="24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1852295</wp:posOffset>
            </wp:positionH>
            <wp:positionV relativeFrom="paragraph">
              <wp:posOffset>429895</wp:posOffset>
            </wp:positionV>
            <wp:extent cx="2971800" cy="1981200"/>
            <wp:effectExtent l="0" t="0" r="0" b="0"/>
            <wp:wrapTight wrapText="bothSides">
              <wp:wrapPolygon>
                <wp:start x="0" y="0"/>
                <wp:lineTo x="0" y="21434"/>
                <wp:lineTo x="21489" y="21434"/>
                <wp:lineTo x="21489" y="0"/>
                <wp:lineTo x="0" y="0"/>
              </wp:wrapPolygon>
            </wp:wrapTight>
            <wp:docPr id="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11.1987</w:t>
      </w:r>
      <w:r>
        <w:rPr>
          <w:sz w:val="28"/>
          <w:szCs w:val="28"/>
        </w:rPr>
        <w:t>年夏天，中央首次邀请全国科技界</w:t>
      </w:r>
      <w:r>
        <w:rPr>
          <w:rFonts w:ascii="Times New Roman" w:hAnsi="Times New Roman" w:eastAsia="Times New Roman" w:cs="Times New Roman"/>
          <w:sz w:val="28"/>
          <w:szCs w:val="28"/>
        </w:rPr>
        <w:t>14</w:t>
      </w:r>
      <w:r>
        <w:rPr>
          <w:sz w:val="28"/>
          <w:szCs w:val="28"/>
        </w:rPr>
        <w:t>位专家及家属到北戴河休假，图</w:t>
      </w:r>
      <w:r>
        <w:rPr>
          <w:rFonts w:ascii="Times New Roman" w:hAnsi="Times New Roman" w:eastAsia="Times New Roman" w:cs="Times New Roman"/>
          <w:sz w:val="28"/>
          <w:szCs w:val="28"/>
        </w:rPr>
        <w:t>2</w:t>
      </w:r>
      <w:r>
        <w:rPr>
          <w:sz w:val="28"/>
          <w:szCs w:val="28"/>
        </w:rPr>
        <w:t>为《邓小平接见部分科学技术工作者代表》。由此可见，当时</w:t>
      </w:r>
    </w:p>
    <w:p>
      <w:pPr>
        <w:rPr>
          <w:sz w:val="28"/>
          <w:szCs w:val="28"/>
        </w:rPr>
      </w:pPr>
    </w:p>
    <w:p>
      <w:pPr>
        <w:pStyle w:val="7"/>
        <w:spacing w:after="0" w:line="320" w:lineRule="exact"/>
        <w:rPr>
          <w:rFonts w:ascii="宋体" w:hAnsi="宋体" w:eastAsia="宋体" w:cs="宋体"/>
          <w:sz w:val="28"/>
          <w:szCs w:val="28"/>
        </w:rPr>
      </w:pPr>
    </w:p>
    <w:p>
      <w:pPr>
        <w:pStyle w:val="7"/>
        <w:spacing w:after="0" w:line="320" w:lineRule="exact"/>
        <w:rPr>
          <w:rFonts w:ascii="宋体" w:hAnsi="宋体" w:eastAsia="宋体" w:cs="宋体"/>
          <w:sz w:val="28"/>
          <w:szCs w:val="28"/>
        </w:rPr>
      </w:pPr>
    </w:p>
    <w:p>
      <w:pPr>
        <w:pStyle w:val="7"/>
        <w:spacing w:after="0" w:line="320" w:lineRule="exact"/>
        <w:rPr>
          <w:rFonts w:ascii="宋体" w:hAnsi="宋体" w:eastAsia="宋体" w:cs="宋体"/>
          <w:sz w:val="28"/>
          <w:szCs w:val="28"/>
        </w:rPr>
      </w:pPr>
    </w:p>
    <w:p>
      <w:pPr>
        <w:pStyle w:val="7"/>
        <w:spacing w:after="0" w:line="320" w:lineRule="exact"/>
        <w:rPr>
          <w:rFonts w:ascii="宋体" w:hAnsi="宋体" w:eastAsia="宋体" w:cs="宋体"/>
          <w:sz w:val="28"/>
          <w:szCs w:val="28"/>
        </w:rPr>
      </w:pPr>
    </w:p>
    <w:p>
      <w:pPr>
        <w:pStyle w:val="7"/>
        <w:spacing w:after="0" w:line="320" w:lineRule="exact"/>
        <w:rPr>
          <w:rFonts w:ascii="宋体" w:hAnsi="宋体" w:eastAsia="宋体" w:cs="宋体"/>
          <w:sz w:val="28"/>
          <w:szCs w:val="28"/>
        </w:rPr>
      </w:pPr>
    </w:p>
    <w:p>
      <w:pPr>
        <w:pStyle w:val="7"/>
        <w:spacing w:after="0" w:line="320" w:lineRule="exact"/>
        <w:rPr>
          <w:rFonts w:ascii="宋体" w:hAnsi="宋体" w:eastAsia="宋体" w:cs="宋体"/>
          <w:sz w:val="28"/>
          <w:szCs w:val="28"/>
        </w:rPr>
      </w:pPr>
    </w:p>
    <w:p>
      <w:pPr>
        <w:pStyle w:val="7"/>
        <w:spacing w:after="0" w:line="320" w:lineRule="exact"/>
        <w:rPr>
          <w:rFonts w:ascii="宋体" w:hAnsi="宋体" w:eastAsia="宋体" w:cs="宋体"/>
          <w:sz w:val="28"/>
          <w:szCs w:val="28"/>
        </w:rPr>
      </w:pPr>
    </w:p>
    <w:p>
      <w:pPr>
        <w:pStyle w:val="7"/>
        <w:spacing w:after="0" w:line="320" w:lineRule="exact"/>
        <w:rPr>
          <w:rFonts w:ascii="宋体" w:hAnsi="宋体" w:eastAsia="宋体" w:cs="宋体"/>
          <w:sz w:val="28"/>
          <w:szCs w:val="28"/>
        </w:rPr>
      </w:pPr>
    </w:p>
    <w:p>
      <w:pPr>
        <w:pStyle w:val="7"/>
        <w:spacing w:after="0" w:line="320" w:lineRule="exact"/>
        <w:rPr>
          <w:rFonts w:ascii="宋体" w:hAnsi="宋体" w:eastAsia="宋体" w:cs="宋体"/>
          <w:sz w:val="28"/>
          <w:szCs w:val="28"/>
        </w:rPr>
      </w:pPr>
    </w:p>
    <w:p>
      <w:pPr>
        <w:pStyle w:val="7"/>
        <w:spacing w:after="0" w:line="320" w:lineRule="exact"/>
        <w:rPr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图</w:t>
      </w:r>
      <w:r>
        <w:rPr>
          <w:sz w:val="28"/>
          <w:szCs w:val="28"/>
        </w:rPr>
        <w:t>2</w:t>
      </w:r>
    </w:p>
    <w:p>
      <w:pPr>
        <w:pStyle w:val="6"/>
        <w:tabs>
          <w:tab w:val="left" w:pos="4520"/>
        </w:tabs>
        <w:spacing w:line="320" w:lineRule="exact"/>
        <w:ind w:firstLine="180"/>
        <w:jc w:val="both"/>
        <w:rPr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A.</w:t>
      </w:r>
      <w:r>
        <w:rPr>
          <w:sz w:val="28"/>
          <w:szCs w:val="28"/>
        </w:rPr>
        <w:t>科教兴国战略推动了科技发展</w:t>
      </w:r>
      <w:r>
        <w:rPr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B.</w:t>
      </w:r>
      <w:r>
        <w:rPr>
          <w:sz w:val="28"/>
          <w:szCs w:val="28"/>
        </w:rPr>
        <w:t>党和国家对科技工作者的重视</w:t>
      </w:r>
    </w:p>
    <w:p>
      <w:pPr>
        <w:pStyle w:val="6"/>
        <w:tabs>
          <w:tab w:val="left" w:pos="4520"/>
        </w:tabs>
        <w:spacing w:line="320" w:lineRule="exact"/>
        <w:ind w:firstLine="180"/>
        <w:jc w:val="both"/>
        <w:rPr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C.</w:t>
      </w:r>
      <w:r>
        <w:rPr>
          <w:sz w:val="28"/>
          <w:szCs w:val="28"/>
        </w:rPr>
        <w:t>市场经济体制下人才地位提升</w:t>
      </w:r>
      <w:r>
        <w:rPr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D.</w:t>
      </w:r>
      <w:r>
        <w:rPr>
          <w:sz w:val="28"/>
          <w:szCs w:val="28"/>
        </w:rPr>
        <w:t>载人航天工程取得了重大进展</w:t>
      </w:r>
    </w:p>
    <w:p>
      <w:pPr>
        <w:pStyle w:val="6"/>
        <w:spacing w:line="320" w:lineRule="exact"/>
        <w:ind w:left="180" w:hanging="180"/>
        <w:jc w:val="both"/>
        <w:rPr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12</w:t>
      </w:r>
      <w:r>
        <w:rPr>
          <w:sz w:val="28"/>
          <w:szCs w:val="28"/>
        </w:rPr>
        <w:t>.有学者认为，宗教改革家们再读希腊文和希伯来文圣经，重新解释宗教教义。他们抛弃 人文主义者的温情面纱，旗帜鲜明地反教皇、反教会，给统治欧洲一千年的天主教以致 命的打击。由此可知，宗教改革</w:t>
      </w:r>
    </w:p>
    <w:p>
      <w:pPr>
        <w:pStyle w:val="6"/>
        <w:tabs>
          <w:tab w:val="left" w:pos="4520"/>
        </w:tabs>
        <w:spacing w:line="317" w:lineRule="exact"/>
        <w:ind w:firstLine="180"/>
        <w:jc w:val="both"/>
        <w:rPr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A.</w:t>
      </w:r>
      <w:r>
        <w:rPr>
          <w:sz w:val="28"/>
          <w:szCs w:val="28"/>
        </w:rPr>
        <w:t>借助复兴古典文化形式批判宗教神学</w:t>
      </w:r>
      <w:r>
        <w:rPr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B.</w:t>
      </w:r>
      <w:r>
        <w:rPr>
          <w:sz w:val="28"/>
          <w:szCs w:val="28"/>
        </w:rPr>
        <w:t>是一场局限于知识分子阶层的运动</w:t>
      </w:r>
    </w:p>
    <w:p>
      <w:pPr>
        <w:pStyle w:val="6"/>
        <w:tabs>
          <w:tab w:val="left" w:pos="4520"/>
        </w:tabs>
        <w:spacing w:line="317" w:lineRule="exact"/>
        <w:ind w:firstLine="180"/>
        <w:jc w:val="both"/>
        <w:rPr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C.</w:t>
      </w:r>
      <w:r>
        <w:rPr>
          <w:sz w:val="28"/>
          <w:szCs w:val="28"/>
        </w:rPr>
        <w:t>旨在打破夭主教会对民众的精神独裁</w:t>
      </w:r>
      <w:r>
        <w:rPr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D.</w:t>
      </w:r>
      <w:r>
        <w:rPr>
          <w:sz w:val="28"/>
          <w:szCs w:val="28"/>
        </w:rPr>
        <w:t>鼓吹理性主义打击封建势力的特权</w:t>
      </w:r>
    </w:p>
    <w:p>
      <w:pPr>
        <w:pStyle w:val="6"/>
        <w:spacing w:line="317" w:lineRule="exact"/>
        <w:ind w:firstLine="0"/>
        <w:jc w:val="both"/>
        <w:rPr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13.1701</w:t>
      </w:r>
      <w:r>
        <w:rPr>
          <w:sz w:val="28"/>
          <w:szCs w:val="28"/>
        </w:rPr>
        <w:t>年英国颁布了《王位继承法》，一方面规定当王位世袭中断，承统不明或发生了纠纷时，议会有权确定王位继承人；另一方面又补充了限制王权的一些内容，如国王必须 严格依照法律办事等等。《王位继承法》的出台</w:t>
      </w:r>
    </w:p>
    <w:p>
      <w:pPr>
        <w:pStyle w:val="6"/>
        <w:tabs>
          <w:tab w:val="left" w:pos="4520"/>
        </w:tabs>
        <w:spacing w:line="317" w:lineRule="exact"/>
        <w:ind w:left="180" w:firstLine="20"/>
        <w:jc w:val="both"/>
        <w:rPr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A.</w:t>
      </w:r>
      <w:r>
        <w:rPr>
          <w:sz w:val="28"/>
          <w:szCs w:val="28"/>
        </w:rPr>
        <w:t>标志着英国君主立宪制的形成</w:t>
      </w:r>
      <w:r>
        <w:rPr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B.</w:t>
      </w:r>
      <w:r>
        <w:rPr>
          <w:sz w:val="28"/>
          <w:szCs w:val="28"/>
        </w:rPr>
        <w:t>从法律层面保障英国代议制</w:t>
      </w:r>
    </w:p>
    <w:p>
      <w:pPr>
        <w:pStyle w:val="6"/>
        <w:tabs>
          <w:tab w:val="left" w:pos="4520"/>
        </w:tabs>
        <w:spacing w:line="317" w:lineRule="exact"/>
        <w:ind w:left="180" w:firstLine="20"/>
        <w:jc w:val="both"/>
        <w:rPr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C.</w:t>
      </w:r>
      <w:r>
        <w:rPr>
          <w:sz w:val="28"/>
          <w:szCs w:val="28"/>
        </w:rPr>
        <w:t>使国王处于“统而不治”地位</w:t>
      </w:r>
      <w:r>
        <w:rPr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D.</w:t>
      </w:r>
      <w:r>
        <w:rPr>
          <w:sz w:val="28"/>
          <w:szCs w:val="28"/>
        </w:rPr>
        <w:t>使英国贵族政治逐渐被清除</w:t>
      </w:r>
    </w:p>
    <w:p>
      <w:pPr>
        <w:pStyle w:val="6"/>
        <w:spacing w:line="317" w:lineRule="exact"/>
        <w:ind w:left="180" w:hanging="180"/>
        <w:jc w:val="both"/>
        <w:rPr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14.19</w:t>
      </w:r>
      <w:r>
        <w:rPr>
          <w:sz w:val="28"/>
          <w:szCs w:val="28"/>
        </w:rPr>
        <w:t>世纪，一群西方画家不满足于室内光作画，完全按照科学、光学、生物学的理论作画， 他们是画家中的科学家，严谨、认真，甚至有点儿书呆子般的迂腐。下列作品与“他们”风格一致的是</w:t>
      </w:r>
    </w:p>
    <w:p>
      <w:pPr>
        <w:pStyle w:val="6"/>
        <w:tabs>
          <w:tab w:val="left" w:pos="4520"/>
        </w:tabs>
        <w:spacing w:line="317" w:lineRule="exact"/>
        <w:ind w:firstLine="180"/>
        <w:jc w:val="both"/>
        <w:rPr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A.</w:t>
      </w:r>
      <w:r>
        <w:rPr>
          <w:sz w:val="28"/>
          <w:szCs w:val="28"/>
        </w:rPr>
        <w:t>《自由引导人民》</w:t>
      </w:r>
      <w:r>
        <w:rPr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B.</w:t>
      </w:r>
      <w:r>
        <w:rPr>
          <w:sz w:val="28"/>
          <w:szCs w:val="28"/>
        </w:rPr>
        <w:t>《拾穂者》</w:t>
      </w:r>
    </w:p>
    <w:p>
      <w:pPr>
        <w:pStyle w:val="6"/>
        <w:tabs>
          <w:tab w:val="left" w:pos="4520"/>
        </w:tabs>
        <w:spacing w:line="317" w:lineRule="exact"/>
        <w:ind w:firstLine="180"/>
        <w:jc w:val="both"/>
        <w:rPr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C.</w:t>
      </w:r>
      <w:r>
        <w:rPr>
          <w:sz w:val="28"/>
          <w:szCs w:val="28"/>
        </w:rPr>
        <w:t>《日出</w:t>
      </w:r>
      <w:r>
        <w:rPr>
          <w:sz w:val="28"/>
          <w:szCs w:val="28"/>
          <w:lang w:val="zh-CN" w:eastAsia="zh-CN" w:bidi="zh-CN"/>
        </w:rPr>
        <w:t>•印</w:t>
      </w:r>
      <w:r>
        <w:rPr>
          <w:sz w:val="28"/>
          <w:szCs w:val="28"/>
        </w:rPr>
        <w:t>象》</w:t>
      </w:r>
      <w:r>
        <w:rPr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D.</w:t>
      </w:r>
      <w:r>
        <w:rPr>
          <w:sz w:val="28"/>
          <w:szCs w:val="28"/>
        </w:rPr>
        <w:t>《格尔尼卡》</w:t>
      </w:r>
    </w:p>
    <w:p>
      <w:pPr>
        <w:pStyle w:val="6"/>
        <w:spacing w:line="317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7" w:name="bookmark20"/>
      <w:bookmarkEnd w:id="7"/>
      <w:r>
        <w:rPr>
          <w:rFonts w:ascii="Times New Roman" w:hAnsi="Times New Roman" w:cs="Times New Roman"/>
          <w:sz w:val="28"/>
          <w:szCs w:val="28"/>
          <w:lang w:val="en-US" w:eastAsia="zh-CN"/>
        </w:rPr>
        <w:t>15.</w:t>
      </w:r>
      <w:r>
        <w:rPr>
          <w:rFonts w:ascii="Times New Roman" w:hAnsi="Times New Roman" w:cs="Times New Roman"/>
          <w:sz w:val="28"/>
          <w:szCs w:val="28"/>
        </w:rPr>
        <w:t>据美国外交档案记载，在整个</w:t>
      </w:r>
      <w:r>
        <w:rPr>
          <w:rFonts w:ascii="Times New Roman" w:hAnsi="Times New Roman" w:eastAsia="Times New Roman" w:cs="Times New Roman"/>
          <w:sz w:val="28"/>
          <w:szCs w:val="28"/>
        </w:rPr>
        <w:t>1946</w:t>
      </w:r>
      <w:r>
        <w:rPr>
          <w:rFonts w:ascii="Times New Roman" w:hAnsi="Times New Roman" w:cs="Times New Roman"/>
          <w:sz w:val="28"/>
          <w:szCs w:val="28"/>
        </w:rPr>
        <w:t>年冬天，美国国务院都在围绕</w:t>
      </w:r>
      <w:r>
        <w:rPr>
          <w:rFonts w:ascii="Times New Roman" w:hAnsi="Times New Roman" w:cs="Times New Roman"/>
          <w:sz w:val="28"/>
          <w:szCs w:val="28"/>
          <w:lang w:val="zh-CN" w:eastAsia="zh-CN" w:bidi="zh-CN"/>
        </w:rPr>
        <w:t>“欧洲</w:t>
      </w:r>
      <w:r>
        <w:rPr>
          <w:rFonts w:ascii="Times New Roman" w:hAnsi="Times New Roman" w:cs="Times New Roman"/>
          <w:sz w:val="28"/>
          <w:szCs w:val="28"/>
        </w:rPr>
        <w:t>重建”这一主 题展开工作。</w:t>
      </w:r>
      <w:r>
        <w:rPr>
          <w:rFonts w:ascii="Times New Roman" w:hAnsi="Times New Roman" w:eastAsia="Times New Roman" w:cs="Times New Roman"/>
          <w:sz w:val="28"/>
          <w:szCs w:val="28"/>
        </w:rPr>
        <w:t>1947</w:t>
      </w:r>
      <w:r>
        <w:rPr>
          <w:rFonts w:ascii="Times New Roman" w:hAnsi="Times New Roman" w:cs="Times New Roman"/>
          <w:sz w:val="28"/>
          <w:szCs w:val="28"/>
        </w:rPr>
        <w:t>年初，欧洲经济、政治、社会形势的持续恶化加剧了美国人对欧洲的 担心，也加强了他们复兴欧洲的决心。美国此时关注欧洲问题的主要原因是</w:t>
      </w:r>
    </w:p>
    <w:p>
      <w:pPr>
        <w:pStyle w:val="6"/>
        <w:tabs>
          <w:tab w:val="left" w:pos="4520"/>
        </w:tabs>
        <w:spacing w:line="317" w:lineRule="exact"/>
        <w:ind w:firstLine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A.</w:t>
      </w:r>
      <w:r>
        <w:rPr>
          <w:rFonts w:ascii="Times New Roman" w:hAnsi="Times New Roman" w:cs="Times New Roman"/>
          <w:sz w:val="28"/>
          <w:szCs w:val="28"/>
        </w:rPr>
        <w:t>两极格局的最终形成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B.</w:t>
      </w:r>
      <w:r>
        <w:rPr>
          <w:rFonts w:ascii="Times New Roman" w:hAnsi="Times New Roman" w:cs="Times New Roman"/>
          <w:sz w:val="28"/>
          <w:szCs w:val="28"/>
        </w:rPr>
        <w:t>马歇尔计划的提出</w:t>
      </w:r>
    </w:p>
    <w:p>
      <w:pPr>
        <w:pStyle w:val="6"/>
        <w:tabs>
          <w:tab w:val="left" w:pos="4520"/>
        </w:tabs>
        <w:spacing w:line="317" w:lineRule="exact"/>
        <w:ind w:firstLine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C.</w:t>
      </w:r>
      <w:r>
        <w:rPr>
          <w:rFonts w:ascii="Times New Roman" w:hAnsi="Times New Roman" w:cs="Times New Roman"/>
          <w:sz w:val="28"/>
          <w:szCs w:val="28"/>
        </w:rPr>
        <w:t>维护国家利益的需要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>D.</w:t>
      </w:r>
      <w:r>
        <w:rPr>
          <w:rFonts w:ascii="Times New Roman" w:hAnsi="Times New Roman" w:cs="Times New Roman"/>
          <w:sz w:val="28"/>
          <w:szCs w:val="28"/>
        </w:rPr>
        <w:t>欧洲经济陷入困境</w:t>
      </w: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  <w:bookmarkStart w:id="8" w:name="bookmark21"/>
      <w:bookmarkEnd w:id="8"/>
      <w:r>
        <w:rPr>
          <w:rFonts w:ascii="Times New Roman" w:hAnsi="Times New Roman" w:cs="Times New Roman"/>
          <w:sz w:val="28"/>
          <w:szCs w:val="28"/>
          <w:lang w:val="en-US" w:eastAsia="zh-CN"/>
        </w:rPr>
        <w:t>16.</w:t>
      </w:r>
      <w:r>
        <w:rPr>
          <w:rFonts w:ascii="Times New Roman" w:hAnsi="Times New Roman" w:cs="Times New Roman"/>
          <w:sz w:val="28"/>
          <w:szCs w:val="28"/>
        </w:rPr>
        <w:t>从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 w:bidi="zh-CN"/>
        </w:rPr>
        <w:t>1987</w:t>
      </w:r>
      <w:r>
        <w:rPr>
          <w:rFonts w:ascii="Times New Roman" w:hAnsi="Times New Roman" w:cs="Times New Roman"/>
          <w:sz w:val="28"/>
          <w:szCs w:val="28"/>
        </w:rPr>
        <w:t>年开始，苏联政府制定的计划与指标不能如期完成。原定</w:t>
      </w:r>
      <w:r>
        <w:rPr>
          <w:rFonts w:ascii="Times New Roman" w:hAnsi="Times New Roman" w:eastAsia="Times New Roman" w:cs="Times New Roman"/>
          <w:sz w:val="28"/>
          <w:szCs w:val="28"/>
        </w:rPr>
        <w:t>1986</w:t>
      </w:r>
      <w:r>
        <w:rPr>
          <w:rFonts w:ascii="Times New Roman" w:hAnsi="Times New Roman" w:cs="Times New Roman"/>
          <w:sz w:val="28"/>
          <w:szCs w:val="28"/>
        </w:rPr>
        <w:t>〜</w:t>
      </w:r>
      <w:r>
        <w:rPr>
          <w:rFonts w:ascii="Times New Roman" w:hAnsi="Times New Roman" w:eastAsia="Times New Roman" w:cs="Times New Roman"/>
          <w:sz w:val="28"/>
          <w:szCs w:val="28"/>
        </w:rPr>
        <w:t>1990</w:t>
      </w:r>
      <w:r>
        <w:rPr>
          <w:rFonts w:ascii="Times New Roman" w:hAnsi="Times New Roman" w:cs="Times New Roman"/>
          <w:sz w:val="28"/>
          <w:szCs w:val="28"/>
        </w:rPr>
        <w:t>年用于消费和积16.累的国民收入年均增长3.5%〜4.0%,而1986〜1988年仅增长2.8%,低于改革前的速度。据此推断，戈尔巴乔夫改革</w:t>
      </w: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A.很大程度背离了苏联当时国情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B.造成苏联工农业比例严重失调</w:t>
      </w: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C.强化高度集中的计划经济体制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D.是对社会主义建设的成功探索</w:t>
      </w: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二、非选择题：本大题4题，共计52分。其中第17题16分，第18题12分，第19题12 分，第20题12分。要求分析材料，结合所学知识回答问题。</w:t>
      </w: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17.（16分）阅读材料，完成下列要求。</w:t>
      </w: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材料一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《四洲志》是近代第一部国人所译的外国史地学著作。编译时，林则徐有意 地调换了原书中介绍国家的顺序，按照亚洲一非洲一欧洲一美洲的顺序进行叙述，遵从了 中国人以“天朝上国”为世界中心的习惯。他将选编的重点放在各国的兵制、统治情况， 以及历史中对外交战的情况。从《四洲志》可以看出林则徐倡导学习西方的军事制度和器 物，而缺乏对于自身政体缺陷的反思。这样“开眼看世界”的后果只能是空想出一个自己 认知框架内的西方世界，而完全无法从根本上理解西方人的政治体制乃至于思维方式。通 过林则徐在鸦片版争中的表现，也能看到这种局限性的具体表现。</w:t>
      </w:r>
    </w:p>
    <w:p>
      <w:pPr>
        <w:pStyle w:val="6"/>
        <w:spacing w:line="318" w:lineRule="exact"/>
        <w:ind w:left="200" w:hanging="20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——摘编自李昊洋《从〈四洲志〉看林则徐对于外部世界的认知与影响》</w:t>
      </w: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材料二</w:t>
      </w:r>
      <w:r>
        <w:rPr>
          <w:rFonts w:ascii="Times New Roman" w:hAnsi="Times New Roman" w:cs="Times New Roman"/>
          <w:sz w:val="28"/>
          <w:szCs w:val="28"/>
        </w:rPr>
        <w:t xml:space="preserve"> 1874年冲正修编纂出版《支那地志略》，开创了近代日本编纂中国地志之 始。该书吸收西方人有关中国的记录和研究成果，诸如经纬度的利用，新式地理词汇的使 用等。该书作为当时日本人的学习教材，成为他们认识中国的读本。此后，日本人通过收 集情报，来华实地踏查，翻译中国和西方人著作，编纂地志研究和认识中国。1880年高田 义甫编纂有《清国地理小志》，1882年岸田吟香编有《清国地志》，1887年日本参谋本 部利用在华调查资料编有《支那地志》，1893年安东不二雄编有《支那帝国地志》，至 1894年前，日本编纂中国地志达到一个高峰，也标志日本研究中国到达一个小高潮。</w:t>
      </w:r>
    </w:p>
    <w:p>
      <w:pPr>
        <w:pStyle w:val="6"/>
        <w:spacing w:line="318" w:lineRule="exact"/>
        <w:ind w:left="200" w:hanging="20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——摘编自郭墨寒《冲正修编纂〈支那地志略〉研究》</w:t>
      </w: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（1）据材料一，归纳林则徐编译《四洲志》的特点，并说明林则徐“开眼看世界”的局限性。（7分）</w:t>
      </w: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（2）据材料二，概括1894年前日本编纂中国地志的表现，结合所学知识，简析其影响。（9分）</w:t>
      </w:r>
    </w:p>
    <w:p>
      <w:pPr>
        <w:pStyle w:val="6"/>
        <w:spacing w:line="318" w:lineRule="exact"/>
        <w:ind w:firstLine="0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en-US" w:bidi="en-US"/>
        </w:rPr>
        <w:t xml:space="preserve">18. </w:t>
      </w:r>
      <w:r>
        <w:rPr>
          <w:rFonts w:ascii="Times New Roman" w:hAnsi="Times New Roman" w:eastAsia="Times New Roman" w:cs="Times New Roman"/>
          <w:sz w:val="28"/>
          <w:szCs w:val="28"/>
          <w:lang w:val="zh-CN" w:eastAsia="zh-CN" w:bidi="zh-CN"/>
        </w:rPr>
        <w:t>（12</w:t>
      </w:r>
      <w:r>
        <w:rPr>
          <w:rFonts w:ascii="Times New Roman" w:hAnsi="Times New Roman" w:cs="Times New Roman"/>
          <w:sz w:val="28"/>
          <w:szCs w:val="28"/>
        </w:rPr>
        <w:t>分）阅读材料，完成下列要求</w:t>
      </w: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  <w:r>
        <w:rPr>
          <w:lang w:val="en-US" w:eastAsia="zh-CN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1569720</wp:posOffset>
            </wp:positionH>
            <wp:positionV relativeFrom="paragraph">
              <wp:posOffset>66675</wp:posOffset>
            </wp:positionV>
            <wp:extent cx="3878580" cy="2804160"/>
            <wp:effectExtent l="0" t="0" r="7620" b="0"/>
            <wp:wrapTight wrapText="bothSides">
              <wp:wrapPolygon>
                <wp:start x="0" y="0"/>
                <wp:lineTo x="0" y="21483"/>
                <wp:lineTo x="21558" y="21483"/>
                <wp:lineTo x="21558" y="0"/>
                <wp:lineTo x="0" y="0"/>
              </wp:wrapPolygon>
            </wp:wrapTight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sz w:val="28"/>
          <w:szCs w:val="28"/>
        </w:rPr>
      </w:pPr>
    </w:p>
    <w:p>
      <w:pPr>
        <w:spacing w:line="1" w:lineRule="exact"/>
        <w:rPr>
          <w:sz w:val="28"/>
          <w:szCs w:val="28"/>
        </w:rPr>
      </w:pPr>
      <w:r>
        <w:rPr>
          <w:sz w:val="28"/>
          <w:szCs w:val="28"/>
          <w:lang w:eastAsia="zh-CN" w:bidi="ar-SA"/>
        </w:rPr>
        <w:drawing>
          <wp:inline distT="0" distB="0" distL="114300" distR="114300">
            <wp:extent cx="5593080" cy="393192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1" w:lineRule="exact"/>
        <w:rPr>
          <w:sz w:val="28"/>
          <w:szCs w:val="28"/>
        </w:rPr>
      </w:pPr>
    </w:p>
    <w:p>
      <w:pPr>
        <w:spacing w:line="1" w:lineRule="exact"/>
        <w:rPr>
          <w:sz w:val="28"/>
          <w:szCs w:val="28"/>
        </w:rPr>
      </w:pPr>
    </w:p>
    <w:p>
      <w:pPr>
        <w:spacing w:line="1" w:lineRule="exact"/>
        <w:rPr>
          <w:sz w:val="28"/>
          <w:szCs w:val="28"/>
        </w:rPr>
      </w:pPr>
    </w:p>
    <w:p>
      <w:pPr>
        <w:spacing w:line="1" w:lineRule="exact"/>
        <w:rPr>
          <w:sz w:val="28"/>
          <w:szCs w:val="28"/>
        </w:rPr>
      </w:pPr>
    </w:p>
    <w:p>
      <w:pPr>
        <w:spacing w:line="1" w:lineRule="exact"/>
        <w:rPr>
          <w:sz w:val="28"/>
          <w:szCs w:val="28"/>
        </w:rPr>
      </w:pPr>
    </w:p>
    <w:p>
      <w:pPr>
        <w:spacing w:line="1" w:lineRule="exact"/>
        <w:rPr>
          <w:sz w:val="28"/>
          <w:szCs w:val="28"/>
        </w:rPr>
      </w:pPr>
    </w:p>
    <w:p>
      <w:pPr>
        <w:spacing w:line="1" w:lineRule="exact"/>
        <w:rPr>
          <w:sz w:val="28"/>
          <w:szCs w:val="28"/>
        </w:rPr>
      </w:pPr>
    </w:p>
    <w:p>
      <w:pPr>
        <w:spacing w:line="1" w:lineRule="exact"/>
        <w:rPr>
          <w:sz w:val="28"/>
          <w:szCs w:val="28"/>
        </w:rPr>
      </w:pPr>
    </w:p>
    <w:p>
      <w:pPr>
        <w:pStyle w:val="10"/>
        <w:ind w:left="497"/>
      </w:pPr>
    </w:p>
    <w:p>
      <w:pPr>
        <w:pStyle w:val="10"/>
        <w:ind w:left="497"/>
      </w:pPr>
    </w:p>
    <w:p>
      <w:pPr>
        <w:pStyle w:val="10"/>
        <w:ind w:left="497"/>
      </w:pPr>
    </w:p>
    <w:p>
      <w:pPr>
        <w:pStyle w:val="10"/>
        <w:ind w:left="497"/>
      </w:pPr>
    </w:p>
    <w:p>
      <w:pPr>
        <w:pStyle w:val="10"/>
        <w:ind w:left="497"/>
      </w:pPr>
    </w:p>
    <w:p>
      <w:pPr>
        <w:pStyle w:val="10"/>
        <w:ind w:left="497"/>
      </w:pPr>
    </w:p>
    <w:p>
      <w:pPr>
        <w:pStyle w:val="10"/>
        <w:ind w:left="497"/>
      </w:pPr>
    </w:p>
    <w:p>
      <w:pPr>
        <w:pStyle w:val="10"/>
        <w:ind w:left="497"/>
      </w:pPr>
    </w:p>
    <w:p>
      <w:pPr>
        <w:pStyle w:val="10"/>
      </w:pPr>
    </w:p>
    <w:p>
      <w:pPr>
        <w:pStyle w:val="10"/>
        <w:ind w:left="497"/>
      </w:pPr>
    </w:p>
    <w:p>
      <w:pPr>
        <w:pStyle w:val="10"/>
        <w:ind w:left="497"/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 </w:t>
      </w:r>
      <w:r>
        <w:rPr>
          <w:sz w:val="28"/>
          <w:szCs w:val="28"/>
        </w:rPr>
        <w:t>“一五计划</w:t>
      </w:r>
      <w:r>
        <w:rPr>
          <w:sz w:val="28"/>
          <w:szCs w:val="28"/>
          <w:lang w:val="zh-CN" w:eastAsia="zh-CN" w:bidi="zh-CN"/>
        </w:rPr>
        <w:t>”期</w:t>
      </w:r>
      <w:r>
        <w:rPr>
          <w:sz w:val="28"/>
          <w:szCs w:val="28"/>
        </w:rPr>
        <w:t>间取得的工业建设主要成就示意图</w:t>
      </w:r>
    </w:p>
    <w:p>
      <w:pPr>
        <w:pStyle w:val="11"/>
        <w:jc w:val="center"/>
        <w:rPr>
          <w:sz w:val="28"/>
          <w:szCs w:val="28"/>
        </w:rPr>
      </w:pPr>
    </w:p>
    <w:p>
      <w:pPr>
        <w:pStyle w:val="11"/>
        <w:jc w:val="center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 xml:space="preserve">  </w:t>
      </w:r>
      <w:r>
        <w:rPr>
          <w:sz w:val="28"/>
          <w:szCs w:val="28"/>
        </w:rPr>
        <w:t>表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2 </w:t>
      </w:r>
      <w:r>
        <w:rPr>
          <w:sz w:val="28"/>
          <w:szCs w:val="28"/>
          <w:lang w:val="zh-CN" w:eastAsia="zh-CN" w:bidi="zh-CN"/>
        </w:rPr>
        <w:t>“一</w:t>
      </w:r>
      <w:r>
        <w:rPr>
          <w:sz w:val="28"/>
          <w:szCs w:val="28"/>
        </w:rPr>
        <w:t>五”时期与人民生活相关的主要工农业产品产量</w:t>
      </w:r>
    </w:p>
    <w:tbl>
      <w:tblPr>
        <w:tblStyle w:val="3"/>
        <w:tblpPr w:leftFromText="180" w:rightFromText="180" w:vertAnchor="text" w:horzAnchor="page" w:tblpX="1823" w:tblpY="97"/>
        <w:tblOverlap w:val="never"/>
        <w:tblW w:w="0" w:type="auto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276"/>
        <w:gridCol w:w="1478"/>
        <w:gridCol w:w="1383"/>
        <w:gridCol w:w="1346"/>
        <w:gridCol w:w="1414"/>
        <w:gridCol w:w="1824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48" w:hRule="exac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>
            <w:pPr>
              <w:pStyle w:val="8"/>
              <w:spacing w:line="317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工农业 产品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1953 </w:t>
            </w:r>
            <w:r>
              <w:rPr>
                <w:sz w:val="28"/>
                <w:szCs w:val="28"/>
              </w:rPr>
              <w:t>年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1954 </w:t>
            </w:r>
            <w:r>
              <w:rPr>
                <w:sz w:val="28"/>
                <w:szCs w:val="28"/>
              </w:rPr>
              <w:t>年</w:t>
            </w:r>
          </w:p>
        </w:tc>
        <w:tc>
          <w:tcPr>
            <w:tcW w:w="134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1955 </w:t>
            </w:r>
            <w:r>
              <w:rPr>
                <w:sz w:val="28"/>
                <w:szCs w:val="28"/>
              </w:rPr>
              <w:t>年</w:t>
            </w:r>
          </w:p>
        </w:tc>
        <w:tc>
          <w:tcPr>
            <w:tcW w:w="1414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1956 </w:t>
            </w:r>
            <w:r>
              <w:rPr>
                <w:sz w:val="28"/>
                <w:szCs w:val="28"/>
              </w:rPr>
              <w:t>年</w:t>
            </w:r>
          </w:p>
        </w:tc>
        <w:tc>
          <w:tcPr>
            <w:tcW w:w="182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1957 </w:t>
            </w:r>
            <w:r>
              <w:rPr>
                <w:sz w:val="28"/>
                <w:szCs w:val="28"/>
              </w:rPr>
              <w:t>年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7" w:hRule="exac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粮食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16683</w:t>
            </w:r>
            <w:r>
              <w:rPr>
                <w:sz w:val="28"/>
                <w:szCs w:val="28"/>
              </w:rPr>
              <w:t>万吨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16952 </w:t>
            </w:r>
            <w:r>
              <w:rPr>
                <w:sz w:val="28"/>
                <w:szCs w:val="28"/>
              </w:rPr>
              <w:t>吨</w:t>
            </w:r>
          </w:p>
        </w:tc>
        <w:tc>
          <w:tcPr>
            <w:tcW w:w="134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18394 </w:t>
            </w:r>
            <w:r>
              <w:rPr>
                <w:sz w:val="28"/>
                <w:szCs w:val="28"/>
              </w:rPr>
              <w:t>吨</w:t>
            </w:r>
          </w:p>
        </w:tc>
        <w:tc>
          <w:tcPr>
            <w:tcW w:w="1414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19275 </w:t>
            </w:r>
            <w:r>
              <w:rPr>
                <w:sz w:val="28"/>
                <w:szCs w:val="28"/>
              </w:rPr>
              <w:t>吨</w:t>
            </w:r>
          </w:p>
        </w:tc>
        <w:tc>
          <w:tcPr>
            <w:tcW w:w="182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19505 </w:t>
            </w:r>
            <w:r>
              <w:rPr>
                <w:sz w:val="28"/>
                <w:szCs w:val="28"/>
              </w:rPr>
              <w:t>吨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4" w:hRule="exac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棉花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en-US" w:eastAsia="en-US" w:bidi="en-US"/>
              </w:rPr>
              <w:t>117.5</w:t>
            </w:r>
            <w:r>
              <w:rPr>
                <w:sz w:val="28"/>
                <w:szCs w:val="28"/>
              </w:rPr>
              <w:t>万吨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en-US" w:eastAsia="en-US" w:bidi="en-US"/>
              </w:rPr>
              <w:t>106.5</w:t>
            </w:r>
            <w:r>
              <w:rPr>
                <w:sz w:val="28"/>
                <w:szCs w:val="28"/>
              </w:rPr>
              <w:t>万吨</w:t>
            </w:r>
          </w:p>
        </w:tc>
        <w:tc>
          <w:tcPr>
            <w:tcW w:w="134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en-US" w:eastAsia="en-US" w:bidi="en-US"/>
              </w:rPr>
              <w:t>151.8</w:t>
            </w:r>
            <w:r>
              <w:rPr>
                <w:sz w:val="28"/>
                <w:szCs w:val="28"/>
              </w:rPr>
              <w:t>万吨</w:t>
            </w:r>
          </w:p>
        </w:tc>
        <w:tc>
          <w:tcPr>
            <w:tcW w:w="1414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en-US" w:eastAsia="en-US" w:bidi="en-US"/>
              </w:rPr>
              <w:t>144.5</w:t>
            </w:r>
            <w:r>
              <w:rPr>
                <w:sz w:val="28"/>
                <w:szCs w:val="28"/>
              </w:rPr>
              <w:t>万吨</w:t>
            </w:r>
          </w:p>
        </w:tc>
        <w:tc>
          <w:tcPr>
            <w:tcW w:w="182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en-US" w:eastAsia="en-US" w:bidi="en-US"/>
              </w:rPr>
              <w:t>164.0</w:t>
            </w:r>
            <w:r>
              <w:rPr>
                <w:sz w:val="28"/>
                <w:szCs w:val="28"/>
              </w:rPr>
              <w:t>万吨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7" w:hRule="exac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8"/>
              <w:spacing w:line="240" w:lineRule="auto"/>
              <w:ind w:firstLine="2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油料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en-US" w:eastAsia="en-US" w:bidi="en-US"/>
              </w:rPr>
              <w:t>385.6</w:t>
            </w:r>
            <w:r>
              <w:rPr>
                <w:sz w:val="28"/>
                <w:szCs w:val="28"/>
              </w:rPr>
              <w:t>万吨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en-US" w:eastAsia="en-US" w:bidi="en-US"/>
              </w:rPr>
              <w:t>430.5</w:t>
            </w:r>
            <w:r>
              <w:rPr>
                <w:sz w:val="28"/>
                <w:szCs w:val="28"/>
              </w:rPr>
              <w:t>万吨</w:t>
            </w:r>
          </w:p>
        </w:tc>
        <w:tc>
          <w:tcPr>
            <w:tcW w:w="134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en-US" w:eastAsia="en-US" w:bidi="en-US"/>
              </w:rPr>
              <w:t>482.7</w:t>
            </w:r>
            <w:r>
              <w:rPr>
                <w:sz w:val="28"/>
                <w:szCs w:val="28"/>
              </w:rPr>
              <w:t>万吨</w:t>
            </w:r>
          </w:p>
        </w:tc>
        <w:tc>
          <w:tcPr>
            <w:tcW w:w="1414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en-US" w:eastAsia="en-US" w:bidi="en-US"/>
              </w:rPr>
              <w:t>508.6</w:t>
            </w:r>
            <w:r>
              <w:rPr>
                <w:sz w:val="28"/>
                <w:szCs w:val="28"/>
              </w:rPr>
              <w:t>万吨</w:t>
            </w:r>
          </w:p>
        </w:tc>
        <w:tc>
          <w:tcPr>
            <w:tcW w:w="182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en-US" w:eastAsia="en-US" w:bidi="en-US"/>
              </w:rPr>
              <w:t>419.6</w:t>
            </w:r>
            <w:r>
              <w:rPr>
                <w:sz w:val="28"/>
                <w:szCs w:val="28"/>
              </w:rPr>
              <w:t>万吨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31" w:hRule="exac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猪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9613</w:t>
            </w:r>
            <w:r>
              <w:rPr>
                <w:sz w:val="28"/>
                <w:szCs w:val="28"/>
              </w:rPr>
              <w:t>万头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10712</w:t>
            </w:r>
            <w:r>
              <w:rPr>
                <w:sz w:val="28"/>
                <w:szCs w:val="28"/>
              </w:rPr>
              <w:t>万头</w:t>
            </w:r>
          </w:p>
        </w:tc>
        <w:tc>
          <w:tcPr>
            <w:tcW w:w="134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8792</w:t>
            </w:r>
            <w:r>
              <w:rPr>
                <w:sz w:val="28"/>
                <w:szCs w:val="28"/>
              </w:rPr>
              <w:t>万头</w:t>
            </w:r>
          </w:p>
        </w:tc>
        <w:tc>
          <w:tcPr>
            <w:tcW w:w="1414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8403</w:t>
            </w:r>
            <w:r>
              <w:rPr>
                <w:sz w:val="28"/>
                <w:szCs w:val="28"/>
              </w:rPr>
              <w:t>万头</w:t>
            </w:r>
          </w:p>
        </w:tc>
        <w:tc>
          <w:tcPr>
            <w:tcW w:w="182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14590</w:t>
            </w:r>
            <w:r>
              <w:rPr>
                <w:sz w:val="28"/>
                <w:szCs w:val="28"/>
              </w:rPr>
              <w:t>万头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7" w:hRule="exac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纱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en-US" w:eastAsia="en-US" w:bidi="en-US"/>
              </w:rPr>
              <w:t>74.5</w:t>
            </w:r>
            <w:r>
              <w:rPr>
                <w:sz w:val="28"/>
                <w:szCs w:val="28"/>
              </w:rPr>
              <w:t>万吨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en-US" w:eastAsia="en-US" w:bidi="en-US"/>
              </w:rPr>
              <w:t>83.4</w:t>
            </w:r>
            <w:r>
              <w:rPr>
                <w:sz w:val="28"/>
                <w:szCs w:val="28"/>
              </w:rPr>
              <w:t>万吨</w:t>
            </w:r>
          </w:p>
        </w:tc>
        <w:tc>
          <w:tcPr>
            <w:tcW w:w="134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en-US" w:eastAsia="en-US" w:bidi="en-US"/>
              </w:rPr>
              <w:t>72.0</w:t>
            </w:r>
            <w:r>
              <w:rPr>
                <w:sz w:val="28"/>
                <w:szCs w:val="28"/>
              </w:rPr>
              <w:t>万吨</w:t>
            </w:r>
          </w:p>
        </w:tc>
        <w:tc>
          <w:tcPr>
            <w:tcW w:w="1414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en-US" w:eastAsia="en-US" w:bidi="en-US"/>
              </w:rPr>
              <w:t>95.2</w:t>
            </w:r>
            <w:r>
              <w:rPr>
                <w:sz w:val="28"/>
                <w:szCs w:val="28"/>
              </w:rPr>
              <w:t>万吨</w:t>
            </w:r>
          </w:p>
        </w:tc>
        <w:tc>
          <w:tcPr>
            <w:tcW w:w="182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en-US" w:eastAsia="en-US" w:bidi="en-US"/>
              </w:rPr>
              <w:t>84.4</w:t>
            </w:r>
            <w:r>
              <w:rPr>
                <w:sz w:val="28"/>
                <w:szCs w:val="28"/>
              </w:rPr>
              <w:t>万吨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7" w:hRule="exac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布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en-US" w:eastAsia="en-US" w:bidi="en-US"/>
              </w:rPr>
              <w:t>46.9</w:t>
            </w:r>
            <w:r>
              <w:rPr>
                <w:sz w:val="28"/>
                <w:szCs w:val="28"/>
              </w:rPr>
              <w:t>亿米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en-US" w:eastAsia="en-US" w:bidi="en-US"/>
              </w:rPr>
              <w:t>52.3</w:t>
            </w:r>
            <w:r>
              <w:rPr>
                <w:sz w:val="28"/>
                <w:szCs w:val="28"/>
              </w:rPr>
              <w:t>亿米</w:t>
            </w:r>
          </w:p>
        </w:tc>
        <w:tc>
          <w:tcPr>
            <w:tcW w:w="134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en-US" w:eastAsia="en-US" w:bidi="en-US"/>
              </w:rPr>
              <w:t>43.6</w:t>
            </w:r>
            <w:r>
              <w:rPr>
                <w:sz w:val="28"/>
                <w:szCs w:val="28"/>
              </w:rPr>
              <w:t>亿米</w:t>
            </w:r>
          </w:p>
        </w:tc>
        <w:tc>
          <w:tcPr>
            <w:tcW w:w="1414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en-US" w:eastAsia="en-US" w:bidi="en-US"/>
              </w:rPr>
              <w:t>57.7</w:t>
            </w:r>
            <w:r>
              <w:rPr>
                <w:sz w:val="28"/>
                <w:szCs w:val="28"/>
              </w:rPr>
              <w:t>亿米</w:t>
            </w:r>
          </w:p>
        </w:tc>
        <w:tc>
          <w:tcPr>
            <w:tcW w:w="182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en-US" w:eastAsia="en-US" w:bidi="en-US"/>
              </w:rPr>
              <w:t>50.5</w:t>
            </w:r>
            <w:r>
              <w:rPr>
                <w:sz w:val="28"/>
                <w:szCs w:val="28"/>
              </w:rPr>
              <w:t>亿米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4" w:hRule="exac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原盐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22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357</w:t>
            </w:r>
            <w:r>
              <w:rPr>
                <w:sz w:val="28"/>
                <w:szCs w:val="28"/>
              </w:rPr>
              <w:t>万吨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489</w:t>
            </w:r>
            <w:r>
              <w:rPr>
                <w:sz w:val="28"/>
                <w:szCs w:val="28"/>
              </w:rPr>
              <w:t>万吨</w:t>
            </w:r>
          </w:p>
        </w:tc>
        <w:tc>
          <w:tcPr>
            <w:tcW w:w="134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754</w:t>
            </w:r>
            <w:r>
              <w:rPr>
                <w:sz w:val="28"/>
                <w:szCs w:val="28"/>
              </w:rPr>
              <w:t>万吨</w:t>
            </w:r>
          </w:p>
        </w:tc>
        <w:tc>
          <w:tcPr>
            <w:tcW w:w="1414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494</w:t>
            </w:r>
            <w:r>
              <w:rPr>
                <w:sz w:val="28"/>
                <w:szCs w:val="28"/>
              </w:rPr>
              <w:t>万吨</w:t>
            </w:r>
          </w:p>
        </w:tc>
        <w:tc>
          <w:tcPr>
            <w:tcW w:w="182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828</w:t>
            </w:r>
            <w:r>
              <w:rPr>
                <w:sz w:val="28"/>
                <w:szCs w:val="28"/>
              </w:rPr>
              <w:t>万吨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96" w:hRule="exac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</w:tcPr>
          <w:p>
            <w:pPr>
              <w:pStyle w:val="8"/>
              <w:spacing w:after="8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食用植</w:t>
            </w:r>
          </w:p>
          <w:p>
            <w:pPr>
              <w:pStyle w:val="8"/>
              <w:spacing w:line="240" w:lineRule="auto"/>
              <w:ind w:firstLine="2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物油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101</w:t>
            </w:r>
            <w:r>
              <w:rPr>
                <w:sz w:val="28"/>
                <w:szCs w:val="28"/>
              </w:rPr>
              <w:t>万吨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107</w:t>
            </w:r>
            <w:r>
              <w:rPr>
                <w:sz w:val="28"/>
                <w:szCs w:val="28"/>
              </w:rPr>
              <w:t>万吨</w:t>
            </w:r>
          </w:p>
        </w:tc>
        <w:tc>
          <w:tcPr>
            <w:tcW w:w="1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117</w:t>
            </w:r>
            <w:r>
              <w:rPr>
                <w:sz w:val="28"/>
                <w:szCs w:val="28"/>
              </w:rPr>
              <w:t>万吨</w:t>
            </w:r>
          </w:p>
        </w:tc>
        <w:tc>
          <w:tcPr>
            <w:tcW w:w="14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108</w:t>
            </w:r>
            <w:r>
              <w:rPr>
                <w:sz w:val="28"/>
                <w:szCs w:val="28"/>
              </w:rPr>
              <w:t>万吨</w:t>
            </w:r>
          </w:p>
        </w:tc>
        <w:tc>
          <w:tcPr>
            <w:tcW w:w="18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110</w:t>
            </w:r>
            <w:r>
              <w:rPr>
                <w:sz w:val="28"/>
                <w:szCs w:val="28"/>
              </w:rPr>
              <w:t>万吨</w:t>
            </w:r>
          </w:p>
        </w:tc>
      </w:tr>
    </w:tbl>
    <w:p>
      <w:pPr>
        <w:pStyle w:val="11"/>
        <w:jc w:val="center"/>
        <w:rPr>
          <w:sz w:val="28"/>
          <w:szCs w:val="28"/>
        </w:rPr>
      </w:pPr>
    </w:p>
    <w:p>
      <w:pPr>
        <w:pStyle w:val="11"/>
        <w:jc w:val="both"/>
        <w:rPr>
          <w:sz w:val="28"/>
          <w:szCs w:val="28"/>
        </w:rPr>
      </w:pPr>
    </w:p>
    <w:p>
      <w:pPr>
        <w:pStyle w:val="11"/>
        <w:jc w:val="both"/>
        <w:rPr>
          <w:sz w:val="28"/>
          <w:szCs w:val="28"/>
        </w:rPr>
      </w:pPr>
    </w:p>
    <w:p>
      <w:pPr>
        <w:pStyle w:val="11"/>
        <w:jc w:val="both"/>
        <w:rPr>
          <w:sz w:val="28"/>
          <w:szCs w:val="28"/>
        </w:rPr>
      </w:pPr>
    </w:p>
    <w:p>
      <w:pPr>
        <w:pStyle w:val="11"/>
        <w:jc w:val="both"/>
        <w:rPr>
          <w:sz w:val="28"/>
          <w:szCs w:val="28"/>
        </w:rPr>
      </w:pPr>
    </w:p>
    <w:p>
      <w:pPr>
        <w:pStyle w:val="11"/>
        <w:jc w:val="both"/>
        <w:rPr>
          <w:sz w:val="28"/>
          <w:szCs w:val="28"/>
        </w:rPr>
      </w:pPr>
    </w:p>
    <w:p>
      <w:pPr>
        <w:pStyle w:val="11"/>
        <w:jc w:val="both"/>
        <w:rPr>
          <w:sz w:val="28"/>
          <w:szCs w:val="28"/>
        </w:rPr>
      </w:pPr>
    </w:p>
    <w:p>
      <w:pPr>
        <w:pStyle w:val="11"/>
        <w:jc w:val="both"/>
        <w:rPr>
          <w:sz w:val="28"/>
          <w:szCs w:val="28"/>
        </w:rPr>
      </w:pPr>
    </w:p>
    <w:p>
      <w:pPr>
        <w:pStyle w:val="11"/>
        <w:jc w:val="both"/>
        <w:rPr>
          <w:sz w:val="28"/>
          <w:szCs w:val="28"/>
        </w:rPr>
      </w:pPr>
    </w:p>
    <w:p>
      <w:pPr>
        <w:pStyle w:val="11"/>
        <w:jc w:val="both"/>
        <w:rPr>
          <w:sz w:val="28"/>
          <w:szCs w:val="28"/>
        </w:rPr>
      </w:pPr>
    </w:p>
    <w:p>
      <w:pPr>
        <w:pStyle w:val="11"/>
        <w:jc w:val="both"/>
        <w:rPr>
          <w:sz w:val="28"/>
          <w:szCs w:val="28"/>
        </w:rPr>
      </w:pPr>
    </w:p>
    <w:p>
      <w:pPr>
        <w:pStyle w:val="11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（数据来源：国家统计局《新中国五十年统计资料汇编》，中国统计出版社，1999年版） </w:t>
      </w:r>
    </w:p>
    <w:p>
      <w:pPr>
        <w:pStyle w:val="11"/>
        <w:ind w:firstLine="280" w:firstLineChars="1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综合以上材料信息，拟定一个论题，并结合所学知识进行简要阐述。（要求：明确写出所拟论题，持论有据，表述清晰。）</w:t>
      </w:r>
    </w:p>
    <w:p>
      <w:pPr>
        <w:pStyle w:val="11"/>
        <w:jc w:val="both"/>
        <w:rPr>
          <w:sz w:val="28"/>
          <w:szCs w:val="28"/>
        </w:rPr>
      </w:pPr>
    </w:p>
    <w:p>
      <w:pPr>
        <w:pStyle w:val="11"/>
        <w:jc w:val="both"/>
        <w:rPr>
          <w:sz w:val="28"/>
          <w:szCs w:val="28"/>
        </w:rPr>
      </w:pPr>
    </w:p>
    <w:p>
      <w:pPr>
        <w:pStyle w:val="11"/>
        <w:jc w:val="both"/>
        <w:rPr>
          <w:sz w:val="28"/>
          <w:szCs w:val="28"/>
        </w:rPr>
      </w:pPr>
    </w:p>
    <w:p>
      <w:pPr>
        <w:pStyle w:val="11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19. （12分）【历史上重大改革回眸】</w:t>
      </w:r>
    </w:p>
    <w:p>
      <w:pPr>
        <w:pStyle w:val="11"/>
        <w:ind w:firstLine="281" w:firstLineChars="100"/>
        <w:jc w:val="both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材料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随着北方的逐渐统一，战争减少，掠夺财富的可能性趋近于零。于是各级官员 不得不变换手法，利用职权搜刮、贪污、经商以谋取钱财。孝文帝在大力推行改革的同时， 面临的另一个重大问题就是如何治理腐败。太和八年（484年），孝文帝下诏：“《周礼》 有食禄之典，二汉著受俸之秩。逮于魏晋，莫不聿稽往宪，以经纶治道。白中原丧乱，兹 制中绝，先朝因循。”班行俸禄，让官吏拥有合法的收入保障，使得北魏官吏数十年习惯 于掠夺、搜刮、贪腐的行为丧失了正当的理由或借口。这一年，孝文帝派遣使者巡视各地， 发现问题及时查处。同时，孝文帝还颁行北魏律，无论皇亲国戚，还是功臣英雄，只要触 犯了红线，一律惩处。史书称赞孝文帝时代："肃明纲纪，赏罚必行，肇革旧轨，时多奉法”。</w:t>
      </w:r>
    </w:p>
    <w:p>
      <w:pPr>
        <w:pStyle w:val="11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——摘编自陈良、王宁《北魏孝文帝的改革与反贪》</w:t>
      </w:r>
    </w:p>
    <w:p>
      <w:pPr>
        <w:pStyle w:val="11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（1）据材料概括孝文帝的反贪措施。（5分）</w:t>
      </w:r>
    </w:p>
    <w:p>
      <w:pPr>
        <w:pStyle w:val="11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（2）据材料并结合所学知识，说明孝文帝反贪的原因。（7分）</w:t>
      </w:r>
    </w:p>
    <w:p>
      <w:pPr>
        <w:pStyle w:val="11"/>
        <w:jc w:val="both"/>
        <w:rPr>
          <w:sz w:val="28"/>
          <w:szCs w:val="28"/>
        </w:rPr>
      </w:pPr>
    </w:p>
    <w:p>
      <w:pPr>
        <w:pStyle w:val="11"/>
        <w:jc w:val="both"/>
        <w:rPr>
          <w:sz w:val="28"/>
          <w:szCs w:val="28"/>
        </w:rPr>
      </w:pPr>
    </w:p>
    <w:p>
      <w:pPr>
        <w:pStyle w:val="11"/>
        <w:jc w:val="both"/>
        <w:rPr>
          <w:sz w:val="28"/>
          <w:szCs w:val="28"/>
        </w:rPr>
      </w:pPr>
    </w:p>
    <w:p>
      <w:pPr>
        <w:pStyle w:val="11"/>
        <w:jc w:val="both"/>
        <w:rPr>
          <w:sz w:val="28"/>
          <w:szCs w:val="28"/>
        </w:rPr>
      </w:pPr>
    </w:p>
    <w:p>
      <w:pPr>
        <w:pStyle w:val="11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20. （12分）【中外历史人物评说】</w:t>
      </w:r>
    </w:p>
    <w:p>
      <w:pPr>
        <w:pStyle w:val="11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材料 马基雅维利在《君主论》中论及管理征服地区时，指出：“不要改变它们的法 律或赋税”。拿破仑对此却嗤之以鼻：“马基雅维利真是幼稚。我没有采取这种软弱的措 施，照样取得了相同的结果。”拿破仑成争铁骑席卷之处，主动向外输出法国革命的原则 和《拿破仑法典》。马基雅维利认为：“征服者亲自前往征服地区，驻導在那里——这会 使他的占领更加稳固、持久。”拿破仑却表示：“我会用副王或傀儡国王来代替，他们唯 我是从!”拿破仑像波旁和哈布斯堡王朝一样，用自己的家族世系共同统治庞大的法国势 力范围。拿破仑引以为傲的欧罗巴合众国看似铁板一块，实则如千丈之堤，终有一天溃于 蚁穴。</w:t>
      </w:r>
    </w:p>
    <w:p>
      <w:pPr>
        <w:pStyle w:val="11"/>
        <w:rPr>
          <w:sz w:val="28"/>
          <w:szCs w:val="28"/>
        </w:rPr>
      </w:pPr>
      <w:r>
        <w:rPr>
          <w:rFonts w:hint="eastAsia"/>
          <w:sz w:val="28"/>
          <w:szCs w:val="28"/>
        </w:rPr>
        <w:t>——摘编自杨翠红，陈家佑《“天才的共鸣”—— 从拿破仑批注〈君主论〉管窥其对外政策》</w:t>
      </w:r>
    </w:p>
    <w:p>
      <w:pPr>
        <w:pStyle w:val="11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（1）据材料概括拿破仑管理征服地区的方式。（5分）</w:t>
      </w:r>
    </w:p>
    <w:p>
      <w:pPr>
        <w:pStyle w:val="11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（2）据材料并结合所学知识，评价拿破仑管理征服地区的方式。（7分）</w:t>
      </w:r>
    </w:p>
    <w:p>
      <w:pPr>
        <w:spacing w:line="1" w:lineRule="exact"/>
        <w:rPr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  <w:lang w:eastAsia="zh-CN" w:bidi="ar-SA"/>
        </w:rPr>
        <w:drawing>
          <wp:inline distT="0" distB="0" distL="114300" distR="114300">
            <wp:extent cx="6991350" cy="4914900"/>
            <wp:effectExtent l="0" t="0" r="3810" b="762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1" w:lineRule="exact"/>
        <w:rPr>
          <w:sz w:val="28"/>
          <w:szCs w:val="28"/>
        </w:rPr>
        <w:sectPr>
          <w:footerReference r:id="rId3" w:type="default"/>
          <w:pgSz w:w="11906" w:h="16838"/>
          <w:pgMar w:top="720" w:right="720" w:bottom="720" w:left="720" w:header="317" w:footer="3" w:gutter="0"/>
          <w:pgNumType w:start="1"/>
          <w:cols w:space="720" w:num="1"/>
          <w:docGrid w:linePitch="360" w:charSpace="0"/>
        </w:sectPr>
      </w:pPr>
    </w:p>
    <w:p>
      <w:pPr>
        <w:spacing w:line="1" w:lineRule="exact"/>
      </w:pPr>
    </w:p>
    <w:p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2021 </w:t>
      </w:r>
      <w:r>
        <w:rPr>
          <w:rFonts w:hint="eastAsia" w:eastAsia="宋体"/>
          <w:sz w:val="36"/>
          <w:szCs w:val="36"/>
          <w:lang w:eastAsia="zh-CN"/>
        </w:rPr>
        <w:t>~</w:t>
      </w:r>
      <w:r>
        <w:rPr>
          <w:sz w:val="36"/>
          <w:szCs w:val="36"/>
        </w:rPr>
        <w:t>2022学年度第一学期期末考试</w:t>
      </w:r>
    </w:p>
    <w:p>
      <w:pPr>
        <w:jc w:val="center"/>
        <w:rPr>
          <w:sz w:val="36"/>
          <w:szCs w:val="36"/>
        </w:rPr>
      </w:pPr>
      <w:r>
        <w:rPr>
          <w:sz w:val="36"/>
          <w:szCs w:val="36"/>
        </w:rPr>
        <w:t>高三历史参考答案</w:t>
      </w:r>
    </w:p>
    <w:p>
      <w:pPr>
        <w:spacing w:line="400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一、选择题：本大题共16小题，每小题3分，共计48分。在每小题列出的四个选项中，只有一项是最符合题目要求的。</w:t>
      </w: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>1 〜5： BAACA</w:t>
      </w:r>
      <w:r>
        <w:rPr>
          <w:sz w:val="28"/>
          <w:szCs w:val="28"/>
        </w:rPr>
        <w:tab/>
      </w:r>
      <w:r>
        <w:rPr>
          <w:rFonts w:hint="eastAsia" w:eastAsia="宋体"/>
          <w:sz w:val="28"/>
          <w:szCs w:val="28"/>
          <w:lang w:eastAsia="zh-CN"/>
        </w:rPr>
        <w:t xml:space="preserve">   </w:t>
      </w:r>
      <w:r>
        <w:rPr>
          <w:sz w:val="28"/>
          <w:szCs w:val="28"/>
        </w:rPr>
        <w:t xml:space="preserve">6-10： BDDBD </w:t>
      </w:r>
      <w:r>
        <w:rPr>
          <w:rFonts w:hint="eastAsia" w:eastAsia="宋体"/>
          <w:sz w:val="28"/>
          <w:szCs w:val="28"/>
          <w:lang w:eastAsia="zh-CN"/>
        </w:rPr>
        <w:t xml:space="preserve">   </w:t>
      </w:r>
      <w:r>
        <w:rPr>
          <w:sz w:val="28"/>
          <w:szCs w:val="28"/>
        </w:rPr>
        <w:t>1</w:t>
      </w:r>
      <w:r>
        <w:rPr>
          <w:rFonts w:hint="eastAsia" w:eastAsia="宋体"/>
          <w:sz w:val="28"/>
          <w:szCs w:val="28"/>
          <w:lang w:eastAsia="zh-CN"/>
        </w:rPr>
        <w:t>1</w:t>
      </w:r>
      <w:r>
        <w:rPr>
          <w:sz w:val="28"/>
          <w:szCs w:val="28"/>
        </w:rPr>
        <w:t xml:space="preserve">〜15：BCBCC </w:t>
      </w:r>
      <w:r>
        <w:rPr>
          <w:rFonts w:hint="eastAsia" w:eastAsia="宋体"/>
          <w:sz w:val="28"/>
          <w:szCs w:val="28"/>
          <w:lang w:eastAsia="zh-CN"/>
        </w:rPr>
        <w:t xml:space="preserve">   </w:t>
      </w:r>
      <w:r>
        <w:rPr>
          <w:sz w:val="28"/>
          <w:szCs w:val="28"/>
        </w:rPr>
        <w:t>16： A</w:t>
      </w:r>
    </w:p>
    <w:p>
      <w:pPr>
        <w:pStyle w:val="6"/>
        <w:spacing w:line="318" w:lineRule="exact"/>
        <w:ind w:left="200" w:hanging="20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二、非选择题：本大题4题，共计52分。其中第17题16分，第18题12分，第19题12 分，第20题12分。要求分析材料，结合所学知识回答问题。</w:t>
      </w: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>17.（16分）</w:t>
      </w: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>（1）</w:t>
      </w:r>
      <w:r>
        <w:rPr>
          <w:sz w:val="28"/>
          <w:szCs w:val="28"/>
        </w:rPr>
        <w:tab/>
      </w:r>
      <w:r>
        <w:rPr>
          <w:sz w:val="28"/>
          <w:szCs w:val="28"/>
        </w:rPr>
        <w:t>特点：有意调换介绍国家的顺序（1 分）；有重点地选择编译的内容（2分）。</w:t>
      </w:r>
    </w:p>
    <w:p>
      <w:pPr>
        <w:spacing w:line="400" w:lineRule="exact"/>
        <w:ind w:firstLine="840" w:firstLineChars="300"/>
        <w:rPr>
          <w:sz w:val="28"/>
          <w:szCs w:val="28"/>
        </w:rPr>
      </w:pPr>
      <w:r>
        <w:rPr>
          <w:sz w:val="28"/>
          <w:szCs w:val="28"/>
        </w:rPr>
        <w:t>局限性：未能摆脱传统观念的束缚和影响（1 分）；缺乏对于自身政体缺陷的反思（1分）； 缺乏对西方社会政治、思想的深入理解（或答 “向西方学习局限在器物层次”，2分）。</w:t>
      </w: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>（2）</w:t>
      </w:r>
      <w:r>
        <w:rPr>
          <w:sz w:val="28"/>
          <w:szCs w:val="28"/>
        </w:rPr>
        <w:tab/>
      </w:r>
      <w:r>
        <w:rPr>
          <w:sz w:val="28"/>
          <w:szCs w:val="28"/>
        </w:rPr>
        <w:t>表现：借鉴西方人有关中国的记录和研究成果（1分）；注重多种方法途径收集资料（2分）；注重实地调查（1分）；编纂多个版本的中国地志（1分）。</w:t>
      </w:r>
    </w:p>
    <w:p>
      <w:pPr>
        <w:spacing w:line="400" w:lineRule="exact"/>
        <w:ind w:firstLine="840" w:firstLineChars="300"/>
        <w:rPr>
          <w:sz w:val="28"/>
          <w:szCs w:val="28"/>
        </w:rPr>
      </w:pPr>
      <w:r>
        <w:rPr>
          <w:sz w:val="28"/>
          <w:szCs w:val="28"/>
        </w:rPr>
        <w:t>影响：增进日本人对中国的认识（1分）；促进日本地志学的发展（1分）；助长日本侵略中国的野心，影响中日甲午战争的结局。（2分）</w:t>
      </w: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>18.（12分）</w:t>
      </w: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>【评分标准】论题部分0-2分，阐述部分0-10 分，具体赋分要求如下：</w:t>
      </w:r>
    </w:p>
    <w:tbl>
      <w:tblPr>
        <w:tblStyle w:val="3"/>
        <w:tblpPr w:leftFromText="180" w:rightFromText="180" w:vertAnchor="text" w:horzAnchor="page" w:tblpX="2399" w:tblpY="105"/>
        <w:tblOverlap w:val="never"/>
        <w:tblW w:w="0" w:type="auto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799"/>
        <w:gridCol w:w="6326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6" w:hRule="exact"/>
        </w:trPr>
        <w:tc>
          <w:tcPr>
            <w:tcW w:w="799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分值</w:t>
            </w:r>
          </w:p>
        </w:tc>
        <w:tc>
          <w:tcPr>
            <w:tcW w:w="632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要求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618" w:hRule="exact"/>
        </w:trPr>
        <w:tc>
          <w:tcPr>
            <w:tcW w:w="799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  <w:lang w:val="en-US" w:eastAsia="zh-CN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val="en-US" w:eastAsia="en-US" w:bidi="en-US"/>
              </w:rPr>
              <w:t>1</w:t>
            </w:r>
            <w:r>
              <w:rPr>
                <w:rFonts w:hint="eastAsia" w:ascii="Times New Roman" w:hAnsi="Times New Roman" w:cs="Times New Roman"/>
                <w:b/>
                <w:bCs/>
                <w:sz w:val="28"/>
                <w:szCs w:val="28"/>
                <w:lang w:val="en-US" w:eastAsia="zh-CN" w:bidi="en-US"/>
              </w:rPr>
              <w:t>0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val="en-US" w:eastAsia="en-US" w:bidi="en-US"/>
              </w:rPr>
              <w:t>-</w:t>
            </w:r>
            <w:r>
              <w:rPr>
                <w:rFonts w:hint="eastAsia" w:ascii="Times New Roman" w:hAnsi="Times New Roman" w:cs="Times New Roman"/>
                <w:b/>
                <w:bCs/>
                <w:sz w:val="28"/>
                <w:szCs w:val="28"/>
                <w:lang w:val="en-US" w:eastAsia="zh-CN" w:bidi="en-US"/>
              </w:rPr>
              <w:t>12</w:t>
            </w:r>
          </w:p>
        </w:tc>
        <w:tc>
          <w:tcPr>
            <w:tcW w:w="632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400" w:lineRule="exact"/>
              <w:rPr>
                <w:rFonts w:eastAsia="宋体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综合材料信息，所拟论题符合要求，指向明确</w:t>
            </w:r>
            <w:r>
              <w:rPr>
                <w:rFonts w:hint="eastAsia" w:eastAsia="宋体"/>
                <w:sz w:val="28"/>
                <w:szCs w:val="28"/>
                <w:lang w:eastAsia="zh-CN"/>
              </w:rPr>
              <w:t>。</w:t>
            </w:r>
          </w:p>
          <w:p>
            <w:pPr>
              <w:spacing w:line="40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能够引用两个或两个以上的具体史实，支持论题；</w:t>
            </w:r>
          </w:p>
          <w:p>
            <w:pPr>
              <w:spacing w:line="40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史实分析准确，论证充分</w:t>
            </w:r>
            <w:r>
              <w:rPr>
                <w:rFonts w:hint="eastAsia" w:eastAsia="宋体"/>
                <w:sz w:val="28"/>
                <w:szCs w:val="28"/>
                <w:lang w:eastAsia="zh-CN"/>
              </w:rPr>
              <w:t>，结论</w:t>
            </w:r>
            <w:r>
              <w:rPr>
                <w:sz w:val="28"/>
                <w:szCs w:val="28"/>
              </w:rPr>
              <w:t>合理；</w:t>
            </w:r>
          </w:p>
          <w:p>
            <w:pPr>
              <w:spacing w:line="400" w:lineRule="exact"/>
              <w:rPr>
                <w:rFonts w:eastAsia="宋体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逻辑严谨，表述通</w:t>
            </w:r>
            <w:r>
              <w:rPr>
                <w:rFonts w:hint="eastAsia" w:eastAsia="宋体"/>
                <w:sz w:val="28"/>
                <w:szCs w:val="28"/>
                <w:lang w:eastAsia="zh-CN"/>
              </w:rPr>
              <w:t>顺。</w:t>
            </w:r>
          </w:p>
          <w:p>
            <w:pPr>
              <w:pStyle w:val="8"/>
              <w:spacing w:line="233" w:lineRule="exact"/>
              <w:ind w:firstLine="0"/>
              <w:jc w:val="both"/>
              <w:rPr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693" w:hRule="exact"/>
        </w:trPr>
        <w:tc>
          <w:tcPr>
            <w:tcW w:w="799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val="en-US" w:eastAsia="en-US" w:bidi="en-US"/>
              </w:rPr>
              <w:t>7-9</w:t>
            </w:r>
          </w:p>
        </w:tc>
        <w:tc>
          <w:tcPr>
            <w:tcW w:w="632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400" w:lineRule="exact"/>
              <w:rPr>
                <w:rFonts w:eastAsia="宋体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综合材料信息，所</w:t>
            </w:r>
            <w:r>
              <w:rPr>
                <w:rFonts w:hint="eastAsia" w:eastAsia="宋体"/>
                <w:sz w:val="28"/>
                <w:szCs w:val="28"/>
                <w:lang w:eastAsia="zh-CN"/>
              </w:rPr>
              <w:t>拟</w:t>
            </w:r>
            <w:r>
              <w:rPr>
                <w:sz w:val="28"/>
                <w:szCs w:val="28"/>
              </w:rPr>
              <w:t>论</w:t>
            </w:r>
            <w:r>
              <w:rPr>
                <w:rFonts w:hint="eastAsia" w:eastAsia="宋体"/>
                <w:sz w:val="28"/>
                <w:szCs w:val="28"/>
                <w:lang w:eastAsia="zh-CN"/>
              </w:rPr>
              <w:t>题</w:t>
            </w:r>
            <w:r>
              <w:rPr>
                <w:sz w:val="28"/>
                <w:szCs w:val="28"/>
              </w:rPr>
              <w:t>符合</w:t>
            </w:r>
            <w:r>
              <w:rPr>
                <w:rFonts w:hint="eastAsia" w:eastAsia="宋体"/>
                <w:sz w:val="28"/>
                <w:szCs w:val="28"/>
                <w:lang w:eastAsia="zh-CN"/>
              </w:rPr>
              <w:t>要</w:t>
            </w:r>
            <w:r>
              <w:rPr>
                <w:sz w:val="28"/>
                <w:szCs w:val="28"/>
              </w:rPr>
              <w:t>求，</w:t>
            </w:r>
            <w:r>
              <w:rPr>
                <w:rFonts w:hint="eastAsia" w:eastAsia="宋体"/>
                <w:sz w:val="28"/>
                <w:szCs w:val="28"/>
                <w:lang w:eastAsia="zh-CN"/>
              </w:rPr>
              <w:t>指</w:t>
            </w:r>
            <w:r>
              <w:rPr>
                <w:sz w:val="28"/>
                <w:szCs w:val="28"/>
              </w:rPr>
              <w:t>向明确</w:t>
            </w:r>
            <w:r>
              <w:rPr>
                <w:rFonts w:hint="eastAsia" w:eastAsia="宋体"/>
                <w:sz w:val="28"/>
                <w:szCs w:val="28"/>
                <w:lang w:eastAsia="zh-CN"/>
              </w:rPr>
              <w:t>。</w:t>
            </w:r>
          </w:p>
          <w:p>
            <w:pPr>
              <w:spacing w:line="40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能够引用两个或两个以上的具体史实，支持论题；</w:t>
            </w:r>
          </w:p>
          <w:p>
            <w:pPr>
              <w:spacing w:line="400" w:lineRule="exact"/>
              <w:rPr>
                <w:rFonts w:eastAsia="宋体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史实分析较准确，论证充分，结论合理</w:t>
            </w:r>
            <w:r>
              <w:rPr>
                <w:rFonts w:hint="eastAsia" w:eastAsia="宋体"/>
                <w:sz w:val="28"/>
                <w:szCs w:val="28"/>
                <w:lang w:eastAsia="zh-CN"/>
              </w:rPr>
              <w:t>；</w:t>
            </w:r>
          </w:p>
          <w:p>
            <w:pPr>
              <w:spacing w:line="400" w:lineRule="exact"/>
              <w:rPr>
                <w:rFonts w:eastAsia="宋体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逻辑较</w:t>
            </w:r>
            <w:r>
              <w:rPr>
                <w:rFonts w:hint="eastAsia" w:eastAsia="宋体"/>
                <w:sz w:val="28"/>
                <w:szCs w:val="28"/>
                <w:lang w:eastAsia="zh-CN"/>
              </w:rPr>
              <w:t>严谨</w:t>
            </w:r>
            <w:r>
              <w:rPr>
                <w:sz w:val="28"/>
                <w:szCs w:val="28"/>
              </w:rPr>
              <w:t>，表述通顺</w:t>
            </w:r>
            <w:r>
              <w:rPr>
                <w:rFonts w:hint="eastAsia" w:eastAsia="宋体"/>
                <w:sz w:val="28"/>
                <w:szCs w:val="28"/>
                <w:lang w:eastAsia="zh-CN"/>
              </w:rPr>
              <w:t>。</w:t>
            </w:r>
          </w:p>
          <w:p>
            <w:pPr>
              <w:pStyle w:val="8"/>
              <w:spacing w:line="226" w:lineRule="exact"/>
              <w:ind w:firstLine="0"/>
              <w:jc w:val="both"/>
              <w:rPr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576" w:hRule="exact"/>
        </w:trPr>
        <w:tc>
          <w:tcPr>
            <w:tcW w:w="799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val="en-US" w:eastAsia="en-US" w:bidi="en-US"/>
              </w:rPr>
              <w:t>4-6</w:t>
            </w:r>
          </w:p>
        </w:tc>
        <w:tc>
          <w:tcPr>
            <w:tcW w:w="632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400" w:lineRule="exact"/>
              <w:rPr>
                <w:rFonts w:eastAsia="宋体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能够拟出论</w:t>
            </w:r>
            <w:r>
              <w:rPr>
                <w:rFonts w:hint="eastAsia" w:eastAsia="宋体"/>
                <w:sz w:val="28"/>
                <w:szCs w:val="28"/>
                <w:lang w:eastAsia="zh-CN"/>
              </w:rPr>
              <w:t>题</w:t>
            </w:r>
            <w:r>
              <w:rPr>
                <w:sz w:val="28"/>
                <w:szCs w:val="28"/>
              </w:rPr>
              <w:t>，基本符合要求</w:t>
            </w:r>
            <w:r>
              <w:rPr>
                <w:rFonts w:hint="eastAsia" w:eastAsia="宋体"/>
                <w:sz w:val="28"/>
                <w:szCs w:val="28"/>
                <w:lang w:eastAsia="zh-CN"/>
              </w:rPr>
              <w:t>；</w:t>
            </w:r>
          </w:p>
          <w:p>
            <w:pPr>
              <w:spacing w:line="40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能够运用史实支持论题；</w:t>
            </w:r>
          </w:p>
          <w:p>
            <w:pPr>
              <w:spacing w:line="40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有一定的分析、论证；</w:t>
            </w:r>
          </w:p>
          <w:p>
            <w:pPr>
              <w:spacing w:line="400" w:lineRule="exact"/>
              <w:rPr>
                <w:rFonts w:eastAsia="宋体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表述较通</w:t>
            </w:r>
            <w:r>
              <w:rPr>
                <w:rFonts w:hint="eastAsia" w:eastAsia="宋体"/>
                <w:sz w:val="28"/>
                <w:szCs w:val="28"/>
                <w:lang w:eastAsia="zh-CN"/>
              </w:rPr>
              <w:t>顺。</w:t>
            </w:r>
          </w:p>
          <w:p>
            <w:pPr>
              <w:pStyle w:val="8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64" w:hRule="exact"/>
        </w:trPr>
        <w:tc>
          <w:tcPr>
            <w:tcW w:w="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</w:tcPr>
          <w:p>
            <w:pPr>
              <w:pStyle w:val="8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val="en-US" w:eastAsia="en-US" w:bidi="en-US"/>
              </w:rPr>
              <w:t>0-3</w:t>
            </w:r>
          </w:p>
        </w:tc>
        <w:tc>
          <w:tcPr>
            <w:tcW w:w="6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pStyle w:val="8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熊够拟出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论题</w:t>
            </w:r>
            <w:r>
              <w:rPr>
                <w:sz w:val="28"/>
                <w:szCs w:val="28"/>
              </w:rPr>
              <w:t>，能够运用史实说明.</w:t>
            </w:r>
          </w:p>
        </w:tc>
      </w:tr>
    </w:tbl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示例：</w:t>
      </w:r>
    </w:p>
    <w:p>
      <w:pPr>
        <w:spacing w:line="400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>论题</w:t>
      </w:r>
      <w:r>
        <w:rPr>
          <w:sz w:val="28"/>
          <w:szCs w:val="28"/>
        </w:rPr>
        <w:t>：“一五”计划在发展重工业的同时也关注民生。（2分）</w:t>
      </w:r>
    </w:p>
    <w:p>
      <w:pPr>
        <w:spacing w:line="400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>阐述：</w:t>
      </w:r>
      <w:r>
        <w:rPr>
          <w:sz w:val="28"/>
          <w:szCs w:val="28"/>
        </w:rPr>
        <w:t>1953年新中国幵始了“一五”计划的建设。（1分）由于我国重工业基础薄弱和受苏联模式的影响，“一五”计划实行优先发展重工业的方针。（1分）在中国共产党领导下，人民投身工业化建设热情高涨，“一五”计划取得了巨大成就，生产力水平得到提高，初步改变了我国工业落后面貌。（2分）</w: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在发展重工业的同时，“一五”计划也关注人 民生活水平的提高。（1分）工农业产品如粮 食、棉花、油料等产量有所增长。（1分）为提高人民生活水平奠定了物质基础，并初步积累了社会主义建设的经验。（2分）</w: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总之，“一五”计划符合当时中国国情，初步显示社会主义制度的优越性，（1分）彰显了中国共产党为人民群众谋幸福的初心使命。（1 分）</w:t>
      </w: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>19.（12分）</w:t>
      </w: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>（1）</w:t>
      </w:r>
      <w:r>
        <w:rPr>
          <w:sz w:val="28"/>
          <w:szCs w:val="28"/>
        </w:rPr>
        <w:tab/>
      </w:r>
      <w:r>
        <w:rPr>
          <w:sz w:val="28"/>
          <w:szCs w:val="28"/>
        </w:rPr>
        <w:t>措施：实行官员俸禄制，保障官员正当收入（2分）；建立巡视监察机制（1分）；颁布法律（1分）；严惩腐败（1分）。</w:t>
      </w: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>（2）</w:t>
      </w:r>
      <w:r>
        <w:rPr>
          <w:sz w:val="28"/>
          <w:szCs w:val="28"/>
        </w:rPr>
        <w:tab/>
      </w:r>
      <w:r>
        <w:rPr>
          <w:sz w:val="28"/>
          <w:szCs w:val="28"/>
        </w:rPr>
        <w:t>原因：北方逐渐统一，北魏政局趋于稳定（2分）；北魏官吏贪腐严重（1分）；整顿吏治，保证改革的顺利进行（2分）；孝文帝崇尚汉文化，学习汉制（1分）；维护统治的需要（1 分）。</w:t>
      </w:r>
    </w:p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>20. （12分）</w:t>
      </w: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>（1）方式：输出法国革命的原则（1分）； 推行《拿破仑法典》，改造征服地区（2分）； 用自己的家族世系共同统治（1分）；实行独裁统治</w:t>
      </w:r>
      <w:r>
        <w:rPr>
          <w:sz w:val="28"/>
          <w:szCs w:val="28"/>
        </w:rPr>
        <w:tab/>
      </w:r>
      <w:r>
        <w:rPr>
          <w:sz w:val="28"/>
          <w:szCs w:val="28"/>
        </w:rPr>
        <w:t>（</w:t>
      </w:r>
      <w:r>
        <w:rPr>
          <w:rFonts w:hint="eastAsia" w:eastAsia="宋体"/>
          <w:sz w:val="28"/>
          <w:szCs w:val="28"/>
          <w:lang w:eastAsia="zh-CN"/>
        </w:rPr>
        <w:t>1</w:t>
      </w:r>
      <w:r>
        <w:rPr>
          <w:sz w:val="28"/>
          <w:szCs w:val="28"/>
        </w:rPr>
        <w:t>分）</w:t>
      </w:r>
    </w:p>
    <w:p>
      <w:pPr>
        <w:spacing w:line="400" w:lineRule="exact"/>
      </w:pPr>
      <w:r>
        <w:rPr>
          <w:rFonts w:hint="eastAsia" w:eastAsia="宋体"/>
          <w:sz w:val="28"/>
          <w:szCs w:val="28"/>
          <w:lang w:eastAsia="zh-CN"/>
        </w:rPr>
        <w:t>（2）</w:t>
      </w:r>
      <w:r>
        <w:rPr>
          <w:sz w:val="28"/>
          <w:szCs w:val="28"/>
        </w:rPr>
        <w:t>评价：传播了法国大革命的思想（1 分）；冲击了欧洲的封建秩序（1分）；推动了欧洲的资产阶级革命运动（或答</w:t>
      </w:r>
      <w:r>
        <w:rPr>
          <w:rFonts w:hint="eastAsia" w:eastAsia="宋体"/>
          <w:sz w:val="28"/>
          <w:szCs w:val="28"/>
          <w:lang w:eastAsia="zh-CN"/>
        </w:rPr>
        <w:t>“</w:t>
      </w:r>
      <w:r>
        <w:rPr>
          <w:sz w:val="28"/>
          <w:szCs w:val="28"/>
        </w:rPr>
        <w:t>加速了欧洲各国实行资产阶级性质的改革</w:t>
      </w:r>
      <w:r>
        <w:rPr>
          <w:rFonts w:hint="eastAsia" w:eastAsia="宋体"/>
          <w:sz w:val="28"/>
          <w:szCs w:val="28"/>
          <w:lang w:eastAsia="zh-CN"/>
        </w:rPr>
        <w:t>”，</w:t>
      </w:r>
      <w:r>
        <w:rPr>
          <w:sz w:val="28"/>
          <w:szCs w:val="28"/>
        </w:rPr>
        <w:t>2分）；带有侵略和奴役性质，损害了被侵略国家人民的利益（2分）；激起征服地区人民的反抗，最终导致法国陷入混乱（1分）。</w:t>
      </w:r>
      <w:bookmarkStart w:id="9" w:name="_GoBack"/>
      <w:bookmarkEnd w:id="9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" w:lineRule="exact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9E0"/>
    <w:rsid w:val="00C709E0"/>
    <w:rsid w:val="00D227ED"/>
    <w:rsid w:val="34715129"/>
    <w:rsid w:val="7960186A"/>
    <w:rsid w:val="7992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Times New Roman" w:hAnsi="Times New Roman" w:eastAsia="Times New Roman" w:cs="Times New Roman"/>
      <w:color w:val="000000"/>
      <w:sz w:val="24"/>
      <w:szCs w:val="24"/>
      <w:lang w:val="en-US" w:eastAsia="en-US" w:bidi="en-US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customStyle="1" w:styleId="5">
    <w:name w:val="Heading #1|1"/>
    <w:basedOn w:val="1"/>
    <w:qFormat/>
    <w:uiPriority w:val="0"/>
    <w:pPr>
      <w:spacing w:after="140"/>
      <w:jc w:val="center"/>
      <w:outlineLvl w:val="0"/>
    </w:pPr>
    <w:rPr>
      <w:rFonts w:ascii="宋体" w:hAnsi="宋体" w:eastAsia="宋体" w:cs="宋体"/>
      <w:sz w:val="36"/>
      <w:szCs w:val="36"/>
      <w:lang w:val="zh-TW" w:eastAsia="zh-TW" w:bidi="zh-TW"/>
    </w:rPr>
  </w:style>
  <w:style w:type="paragraph" w:customStyle="1" w:styleId="6">
    <w:name w:val="Body text|1"/>
    <w:basedOn w:val="1"/>
    <w:uiPriority w:val="0"/>
    <w:pPr>
      <w:spacing w:line="331" w:lineRule="auto"/>
      <w:ind w:firstLine="10"/>
    </w:pPr>
    <w:rPr>
      <w:rFonts w:ascii="宋体" w:hAnsi="宋体" w:eastAsia="宋体" w:cs="宋体"/>
      <w:sz w:val="19"/>
      <w:szCs w:val="19"/>
      <w:lang w:val="zh-TW" w:eastAsia="zh-TW" w:bidi="zh-TW"/>
    </w:rPr>
  </w:style>
  <w:style w:type="paragraph" w:customStyle="1" w:styleId="7">
    <w:name w:val="Body text|2"/>
    <w:basedOn w:val="1"/>
    <w:uiPriority w:val="0"/>
    <w:pPr>
      <w:spacing w:after="30" w:line="310" w:lineRule="exact"/>
      <w:jc w:val="center"/>
    </w:pPr>
    <w:rPr>
      <w:sz w:val="20"/>
      <w:szCs w:val="20"/>
      <w:lang w:val="zh-TW" w:eastAsia="zh-TW" w:bidi="zh-TW"/>
    </w:rPr>
  </w:style>
  <w:style w:type="paragraph" w:customStyle="1" w:styleId="8">
    <w:name w:val="Other|1"/>
    <w:basedOn w:val="1"/>
    <w:qFormat/>
    <w:uiPriority w:val="0"/>
    <w:pPr>
      <w:spacing w:line="331" w:lineRule="auto"/>
      <w:ind w:firstLine="10"/>
    </w:pPr>
    <w:rPr>
      <w:rFonts w:ascii="宋体" w:hAnsi="宋体" w:eastAsia="宋体" w:cs="宋体"/>
      <w:sz w:val="19"/>
      <w:szCs w:val="19"/>
      <w:lang w:val="zh-TW" w:eastAsia="zh-TW" w:bidi="zh-TW"/>
    </w:rPr>
  </w:style>
  <w:style w:type="paragraph" w:customStyle="1" w:styleId="9">
    <w:name w:val="Header or footer|2"/>
    <w:basedOn w:val="1"/>
    <w:uiPriority w:val="0"/>
    <w:rPr>
      <w:sz w:val="20"/>
      <w:szCs w:val="20"/>
      <w:lang w:val="zh-TW" w:eastAsia="zh-TW" w:bidi="zh-TW"/>
    </w:rPr>
  </w:style>
  <w:style w:type="paragraph" w:customStyle="1" w:styleId="10">
    <w:name w:val="Picture caption|1"/>
    <w:basedOn w:val="1"/>
    <w:uiPriority w:val="0"/>
    <w:rPr>
      <w:rFonts w:ascii="宋体" w:hAnsi="宋体" w:eastAsia="宋体" w:cs="宋体"/>
      <w:sz w:val="19"/>
      <w:szCs w:val="19"/>
      <w:lang w:val="zh-TW" w:eastAsia="zh-TW" w:bidi="zh-TW"/>
    </w:rPr>
  </w:style>
  <w:style w:type="paragraph" w:customStyle="1" w:styleId="11">
    <w:name w:val="Table caption|1"/>
    <w:basedOn w:val="1"/>
    <w:uiPriority w:val="0"/>
    <w:rPr>
      <w:rFonts w:ascii="宋体" w:hAnsi="宋体" w:eastAsia="宋体" w:cs="宋体"/>
      <w:sz w:val="19"/>
      <w:szCs w:val="19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学科网（北京）股份有限公司</Company>
  <Pages>3</Pages>
  <Words>969</Words>
  <Characters>5524</Characters>
  <Lines>46</Lines>
  <Paragraphs>12</Paragraphs>
  <TotalTime>0</TotalTime>
  <ScaleCrop>false</ScaleCrop>
  <LinksUpToDate>false</LinksUpToDate>
  <CharactersWithSpaces>6481</CharactersWithSpaces>
  <Application>WPS Office_11.1.0.10950_F1E327BC-269C-435d-A152-05C5408002CA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2022-01-23T09:29:00Z</dcterms:created>
  <dc:creator>HONOR</dc:creator>
  <cp:lastModifiedBy>庸哟礁际考</cp:lastModifiedBy>
  <dcterms:modified xsi:type="dcterms:W3CDTF">2022-03-07T01:20:14Z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2052-11.1.0.10950</vt:lpwstr>
  </property>
  <property fmtid="{D5CDD505-2E9C-101B-9397-08002B2CF9AE}" pid="7" name="ICV">
    <vt:lpwstr>C46C3E709DFD41EAA0C9AF83BC62BEC7</vt:lpwstr>
  </property>
</Properties>
</file>