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843" w:firstLineChars="300"/>
        <w:jc w:val="both"/>
        <w:textAlignment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i w:val="0"/>
          <w:sz w:val="28"/>
          <w:szCs w:val="28"/>
          <w:lang w:val="en-US" w:eastAsia="zh-CN"/>
        </w:rPr>
        <w:t>仪征中学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2023-2024学年度高三第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学期期初调研测试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1124" w:firstLineChars="400"/>
        <w:jc w:val="both"/>
        <w:textAlignment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 xml:space="preserve">                    地理试题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          </w:t>
      </w:r>
    </w:p>
    <w:p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ascii="黑体" w:hAnsi="宋体" w:eastAsia="黑体" w:cs="黑体"/>
          <w:b/>
          <w:bCs/>
          <w:color w:val="000000"/>
          <w:kern w:val="0"/>
          <w:sz w:val="20"/>
          <w:szCs w:val="20"/>
          <w:lang w:val="en-US" w:eastAsia="zh-CN" w:bidi="ar"/>
        </w:rPr>
        <w:t>一、单项选择题：在下列各小题的四个选项中，只有一个选项最符合题目的要求。请在答题卡上将所选答</w:t>
      </w:r>
      <w:r>
        <w:rPr>
          <w:rFonts w:hint="eastAsia" w:ascii="黑体" w:hAnsi="宋体" w:eastAsia="黑体" w:cs="黑体"/>
          <w:b/>
          <w:bCs/>
          <w:color w:val="000000"/>
          <w:kern w:val="0"/>
          <w:sz w:val="20"/>
          <w:szCs w:val="20"/>
          <w:lang w:val="en-US" w:eastAsia="zh-CN" w:bidi="ar"/>
        </w:rPr>
        <w:t>案的字母代号涂黑（每小题2分，共46分）。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t>2023</w:t>
      </w:r>
      <w:r>
        <w:rPr>
          <w:rFonts w:ascii="楷体" w:hAnsi="楷体" w:eastAsia="楷体" w:cs="楷体"/>
        </w:rPr>
        <w:t>年</w:t>
      </w:r>
      <w:r>
        <w:t>6</w:t>
      </w:r>
      <w:r>
        <w:rPr>
          <w:rFonts w:ascii="楷体" w:hAnsi="楷体" w:eastAsia="楷体" w:cs="楷体"/>
        </w:rPr>
        <w:t>月</w:t>
      </w:r>
      <w:r>
        <w:t>1</w:t>
      </w:r>
      <w:r>
        <w:rPr>
          <w:rFonts w:ascii="楷体" w:hAnsi="楷体" w:eastAsia="楷体" w:cs="楷体"/>
        </w:rPr>
        <w:t>日到</w:t>
      </w:r>
      <w:r>
        <w:t>9</w:t>
      </w:r>
      <w:r>
        <w:rPr>
          <w:rFonts w:ascii="楷体" w:hAnsi="楷体" w:eastAsia="楷体" w:cs="楷体"/>
        </w:rPr>
        <w:t>月</w:t>
      </w:r>
      <w:r>
        <w:t>1</w:t>
      </w:r>
      <w:r>
        <w:rPr>
          <w:rFonts w:ascii="楷体" w:hAnsi="楷体" w:eastAsia="楷体" w:cs="楷体"/>
        </w:rPr>
        <w:t>日，我国某中学地理兴趣小组完成了为期</w:t>
      </w:r>
      <w:r>
        <w:t>3</w:t>
      </w:r>
      <w:r>
        <w:rPr>
          <w:rFonts w:ascii="楷体" w:hAnsi="楷体" w:eastAsia="楷体" w:cs="楷体"/>
        </w:rPr>
        <w:t>个月的观测日影变化的地理实践活动。小组同学重点观测和记录了学校操场上的旗杆影长变化，旗杆长</w:t>
      </w:r>
      <w:r>
        <w:t>5.1</w:t>
      </w:r>
      <w:r>
        <w:rPr>
          <w:rFonts w:ascii="楷体" w:hAnsi="楷体" w:eastAsia="楷体" w:cs="楷体"/>
        </w:rPr>
        <w:t>米，在记录中某日正午时刻测得影长为</w:t>
      </w:r>
      <w:r>
        <w:t>3</w:t>
      </w:r>
      <w:r>
        <w:rPr>
          <w:rFonts w:ascii="楷体" w:hAnsi="楷体" w:eastAsia="楷体" w:cs="楷体"/>
        </w:rPr>
        <w:t>米，且在观测记录中最短。左图为抽取该日其中两组影长相等的记录绘制而成，右图为四个小组分别绘制的活动期间正午杆影变化的示意图。（注：活动过程可能用到的数据</w:t>
      </w:r>
      <w:r>
        <w:t>30°≈0.6</w:t>
      </w:r>
      <w:r>
        <w:rPr>
          <w:rFonts w:ascii="楷体" w:hAnsi="楷体" w:eastAsia="楷体" w:cs="楷体"/>
        </w:rPr>
        <w:t>，</w:t>
      </w:r>
      <w:r>
        <w:t>45°≈1</w:t>
      </w:r>
      <w:r>
        <w:rPr>
          <w:rFonts w:ascii="楷体" w:hAnsi="楷体" w:eastAsia="楷体" w:cs="楷体"/>
        </w:rPr>
        <w:t>，</w:t>
      </w:r>
      <w:r>
        <w:t>60°≈1.7</w:t>
      </w:r>
      <w:r>
        <w:rPr>
          <w:rFonts w:ascii="楷体" w:hAnsi="楷体" w:eastAsia="楷体" w:cs="楷体"/>
        </w:rPr>
        <w:t>。完成下面小题。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6790" cy="1398270"/>
            <wp:effectExtent l="0" t="0" r="0" b="11430"/>
            <wp:docPr id="100003" name="图片 100003" descr="@@@7e3a0513-58eb-4fa1-9b30-722e4d39d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e3a0513-58eb-4fa1-9b30-722e4d39d1fd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t>1．该中学位于（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A．黑龙江</w:t>
      </w:r>
      <w:r>
        <w:tab/>
      </w:r>
      <w:r>
        <w:t>B．辽宁</w:t>
      </w:r>
      <w:r>
        <w:tab/>
      </w:r>
      <w:r>
        <w:t>C．新疆</w:t>
      </w:r>
      <w:r>
        <w:tab/>
      </w:r>
      <w:r>
        <w:t>D．海南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t>2．右图中四个小组绘制的正午杆影变化趋势图正确的是（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A．①</w:t>
      </w:r>
      <w:r>
        <w:tab/>
      </w:r>
      <w:r>
        <w:rPr>
          <w:color w:val="0000FF"/>
        </w:rPr>
        <w:t>B．②</w:t>
      </w:r>
      <w:r>
        <w:tab/>
      </w:r>
      <w:r>
        <w:t>C．③</w:t>
      </w:r>
      <w:r>
        <w:tab/>
      </w:r>
      <w:r>
        <w:t>D．④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t>3．兴趣小组活动期间（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A．该地昼长先变短再变长</w:t>
      </w:r>
      <w:r>
        <w:tab/>
      </w:r>
      <w:r>
        <w:t>B．极昼范围先缩小后扩大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C．地球公转速度先变快后变慢</w:t>
      </w:r>
      <w:r>
        <w:tab/>
      </w:r>
      <w:r>
        <w:rPr>
          <w:color w:val="0000FF"/>
        </w:rPr>
        <w:t>D．日出方位先北移后南移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左图2022年3月中旬某日8时亚洲局部地区海平面气压分布图，右图为此时某摄影爱好者拍摄的“桃花映雪”景观照片，读图，完成下面小题。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72585" cy="2060575"/>
            <wp:effectExtent l="0" t="0" r="18415" b="15875"/>
            <wp:docPr id="100009" name="图片 100009" descr="@@@9cde609c-89ed-4dd0-8857-a11b11944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cde609c-89ed-4dd0-8857-a11b119444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．上图中（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A．气旋中心强度①地比②地大</w:t>
      </w:r>
      <w:r>
        <w:tab/>
      </w:r>
      <w:r>
        <w:t>B．③地位于台风中心附近风速大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C．④地海域气流辐合风浪较小</w:t>
      </w:r>
      <w:r>
        <w:tab/>
      </w:r>
      <w:r>
        <w:rPr>
          <w:color w:val="0000FF"/>
        </w:rPr>
        <w:t>D．⑤地风向偏西北风力比③地大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．“桃花映雪”照片的拍摄地可能是左图中（</w: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A．甲地</w:t>
      </w:r>
      <w:r>
        <w:tab/>
      </w:r>
      <w:r>
        <w:t>B．乙地</w:t>
      </w:r>
      <w:r>
        <w:tab/>
      </w:r>
      <w:r>
        <w:rPr>
          <w:color w:val="0000FF"/>
        </w:rPr>
        <w:t>C．丙地</w:t>
      </w:r>
      <w:r>
        <w:tab/>
      </w:r>
      <w:r>
        <w:t>D．丁地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．图示季节（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松花江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正处于主汛期</w:t>
      </w:r>
      <w:r>
        <w:tab/>
      </w:r>
      <w:r>
        <w:t>B．南非大草原草地渐葱绿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C．</w:t>
      </w:r>
      <w:r>
        <w:rPr>
          <w:rFonts w:hint="eastAsia"/>
          <w:color w:val="0000FF"/>
          <w:lang w:eastAsia="zh-CN"/>
        </w:rPr>
        <w:t>长江中下游地区油菜花正开放</w:t>
      </w:r>
      <w:r>
        <w:tab/>
      </w:r>
      <w:r>
        <w:t>D．华北平原播种小麦正忙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比利牛斯山脉海拔大多在</w:t>
      </w:r>
      <w:r>
        <w:t>2000</w:t>
      </w:r>
      <w:r>
        <w:rPr>
          <w:rFonts w:ascii="楷体" w:hAnsi="楷体" w:eastAsia="楷体" w:cs="楷体"/>
        </w:rPr>
        <w:t>米以上，最高峰阿内托峰海拔高达</w:t>
      </w:r>
      <w:r>
        <w:t>3404</w:t>
      </w:r>
      <w:r>
        <w:rPr>
          <w:rFonts w:ascii="楷体" w:hAnsi="楷体" w:eastAsia="楷体" w:cs="楷体"/>
        </w:rPr>
        <w:t>米，山顶有现代冰川分布。南坡和北坡都发育了较完整的自然带谱。该山脉南北两侧气候存在明显差异，南坡降水比北坡少。下图为比利牛斯山脉地理位置示意图。完成下面小题。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39315" cy="1419225"/>
            <wp:effectExtent l="0" t="0" r="13335" b="9525"/>
            <wp:docPr id="100011" name="图片 100011" descr="@@@64f7bb0a61ac42ffb5137c788b9c8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64f7bb0a61ac42ffb5137c788b9c880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7</w:t>
      </w:r>
      <w:r>
        <w:t>．与北坡相比，比利牛斯山脉南坡（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A．自然带数量较少</w:t>
      </w:r>
      <w:r>
        <w:rPr>
          <w:rFonts w:hint="eastAsia"/>
          <w:lang w:val="en-US" w:eastAsia="zh-CN"/>
        </w:rPr>
        <w:t xml:space="preserve">                    </w:t>
      </w:r>
      <w:r>
        <w:t>B．基带土壤水分多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C．落叶林带下限低</w:t>
      </w:r>
      <w:r>
        <w:rPr>
          <w:rFonts w:hint="eastAsia"/>
          <w:lang w:val="en-US" w:eastAsia="zh-CN"/>
        </w:rPr>
        <w:t xml:space="preserve">                    </w:t>
      </w:r>
      <w:r>
        <w:rPr>
          <w:color w:val="0000FF"/>
        </w:rPr>
        <w:t>D．雪线的位置较高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．与加龙河相比，关于埃布罗河水文特征的表述正确的是（</w: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</w:pPr>
      <w:r>
        <w:t>A．含沙量小</w:t>
      </w:r>
      <w:r>
        <w:rPr>
          <w:rFonts w:hint="eastAsia"/>
          <w:lang w:val="en-US" w:eastAsia="zh-CN"/>
        </w:rPr>
        <w:t xml:space="preserve">                         </w:t>
      </w:r>
      <w:r>
        <w:t>B．支流数量多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</w:pPr>
      <w:r>
        <w:t>C．结冰期短</w:t>
      </w:r>
      <w:r>
        <w:rPr>
          <w:rFonts w:hint="eastAsia"/>
          <w:lang w:val="en-US" w:eastAsia="zh-CN"/>
        </w:rPr>
        <w:t xml:space="preserve">                         </w:t>
      </w:r>
      <w:r>
        <w:rPr>
          <w:color w:val="0000FF"/>
        </w:rPr>
        <w:t>D．水位变化大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下图为某地月平均气温变化曲线及降水量逐月累计曲线图。据此完成下面小题。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4960" cy="1622425"/>
            <wp:effectExtent l="0" t="0" r="2540" b="15875"/>
            <wp:docPr id="100013" name="图片 100013" descr="@@@fb5e4cdb-b897-4e34-8bdd-8a7291946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fb5e4cdb-b897-4e34-8bdd-8a72919460ac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9</w:t>
      </w:r>
      <w:r>
        <w:t>．该地出现干季的月份及原因对应正确的是（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  <w:rPr>
          <w:color w:val="0000FF"/>
        </w:rPr>
      </w:pPr>
      <w:r>
        <w:t>A．1～3月——西北季风控制</w:t>
      </w:r>
      <w:r>
        <w:tab/>
      </w:r>
      <w:r>
        <w:rPr>
          <w:color w:val="0000FF"/>
        </w:rPr>
        <w:t>B．6～8月——东南信风控制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</w:pPr>
      <w:r>
        <w:t>C．4～6月——副热带高压控制</w:t>
      </w:r>
      <w:r>
        <w:tab/>
      </w:r>
      <w:r>
        <w:t>D．10～12月——东北信风控制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10</w:t>
      </w:r>
      <w:r>
        <w:t>．图所示气候类型可能分布在（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</w:pPr>
      <w:r>
        <w:rPr>
          <w:color w:val="0000FF"/>
        </w:rPr>
        <w:t>A．澳大利亚西北部</w:t>
      </w:r>
      <w:r>
        <w:tab/>
      </w:r>
      <w:r>
        <w:t>B．尼罗河中游地区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80"/>
        <w:jc w:val="left"/>
        <w:textAlignment w:val="center"/>
      </w:pPr>
      <w:r>
        <w:t>C．巴西高原东南部</w:t>
      </w:r>
      <w:r>
        <w:tab/>
      </w:r>
      <w:r>
        <w:t>D．长江中下游地区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罗斯环流受陆坡流和西风漂流的共同影响而成，同时环流在运动过程中还受到海陆轮廓、地转偏向力等因素的影响。下图示意罗斯海所在区域的地理环境。读图,完成下面小题。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90950" cy="2068195"/>
            <wp:effectExtent l="0" t="0" r="0" b="8255"/>
            <wp:docPr id="4" name="图片 4" descr="@@@959da4f7-2b81-495c-bc2d-915aa9a49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959da4f7-2b81-495c-bc2d-915aa9a4924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11</w:t>
      </w:r>
      <w:r>
        <w:t>．与罗斯环流中①洋流成因类似的是（</w: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auto"/>
        </w:rPr>
        <w:t>A．</w:t>
      </w:r>
      <w:r>
        <w:t>北大西洋暖流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B．南赤道暖流</w:t>
      </w:r>
      <w:r>
        <w:tab/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color w:val="0000FF"/>
        </w:rPr>
        <w:t>C．日本暖流</w:t>
      </w:r>
      <w:r>
        <w:tab/>
      </w:r>
      <w:r>
        <w:t>D．北太平洋暖流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12</w:t>
      </w:r>
      <w:r>
        <w:t>．下列关于罗斯环流纬度范围较小的原因,叙述正确的是（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</w:t>
      </w:r>
      <w:r>
        <w:rPr>
          <w:color w:val="0000FF"/>
        </w:rPr>
        <w:t>受西风漂流的阻隔</w:t>
      </w:r>
      <w:r>
        <w:tab/>
      </w:r>
      <w:r>
        <w:rPr>
          <w:color w:val="auto"/>
        </w:rPr>
        <w:t>B．</w:t>
      </w:r>
      <w:r>
        <w:t>罗斯海域面积小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C．冰川面积广大</w:t>
      </w:r>
      <w:r>
        <w:tab/>
      </w:r>
      <w:r>
        <w:t>D．海水密度大，下沉明显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13</w:t>
      </w:r>
      <w:r>
        <w:t>．关于罗斯海域的说法，错误的是（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A．人类活动少</w:t>
      </w:r>
      <w:r>
        <w:tab/>
      </w:r>
      <w:r>
        <w:t>B．存在冰筏景观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C．生物资源缺乏</w:t>
      </w:r>
      <w:r>
        <w:rPr>
          <w:rFonts w:hint="eastAsia"/>
          <w:color w:val="0000FF"/>
          <w:lang w:val="en-US" w:eastAsia="zh-CN"/>
        </w:rPr>
        <w:t xml:space="preserve">              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t>对全球变暖敏感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jc w:val="left"/>
        <w:textAlignment w:val="center"/>
      </w:pPr>
      <w:r>
        <w:rPr>
          <w:rFonts w:ascii="楷体" w:hAnsi="楷体" w:eastAsia="楷体" w:cs="楷体"/>
        </w:rPr>
        <w:t>下图为云南某地土地利用示意图。据此完成下面小题。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61260" cy="1958340"/>
            <wp:effectExtent l="0" t="0" r="15240" b="3810"/>
            <wp:docPr id="2" name="图片 2" descr="@@@6fbe8648-1213-42cf-a6bb-02a8970c7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6fbe8648-1213-42cf-a6bb-02a8970c7d73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EFFFF">
                            <a:alpha val="100000"/>
                          </a:srgbClr>
                        </a:clrFrom>
                        <a:clrTo>
                          <a:srgbClr val="FE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14</w:t>
      </w:r>
      <w:r>
        <w:t>．该地地势总体上（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A．从中间向四周降低</w:t>
      </w:r>
      <w:r>
        <w:tab/>
      </w:r>
      <w:r>
        <w:t>B．从四周向中间降低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C．从西南向东北降低</w:t>
      </w:r>
      <w:r>
        <w:tab/>
      </w:r>
      <w:r>
        <w:t>D．从东北向西南降低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15</w:t>
      </w:r>
      <w:r>
        <w:t>．该地村寨选址主要考虑（</w: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A．地形平坦</w:t>
      </w:r>
      <w:r>
        <w:tab/>
      </w:r>
      <w:r>
        <w:t>B．少占耕地</w:t>
      </w:r>
      <w:r>
        <w:tab/>
      </w:r>
      <w:r>
        <w:t>C．水源充足</w:t>
      </w:r>
      <w:r>
        <w:tab/>
      </w:r>
      <w:r>
        <w:rPr>
          <w:color w:val="0000FF"/>
        </w:rPr>
        <w:t>D．气候凉爽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16</w:t>
      </w:r>
      <w:r>
        <w:t>．为实现可持续发展，该地适宜（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A．增加梯田以助力乡村振兴</w:t>
      </w:r>
      <w:r>
        <w:tab/>
      </w:r>
      <w:r>
        <w:rPr>
          <w:color w:val="0000FF"/>
        </w:rPr>
        <w:t>B．政府引导以发展旅游经济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C．村民自主以发展村办企业</w:t>
      </w:r>
      <w:r>
        <w:tab/>
      </w:r>
      <w:r>
        <w:t>D．调整布局加快小城镇建设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随着改革开放不断深入，人作为生产要素中最活跃因子之一，在省际间迁移流动已成常态。下图为“黑龙江省不同年份迁往主要目标省（市、区）的人口统计图”。据此完成下面小题。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57575" cy="1421765"/>
            <wp:effectExtent l="0" t="0" r="9525" b="6985"/>
            <wp:docPr id="7" name="图片 7" descr="@@@3e058bdd-c7f9-426d-a850-762cf243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3e058bdd-c7f9-426d-a850-762cf2430df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7</w:t>
      </w:r>
      <w:r>
        <w:t>．图中A省份最可能是（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A．赣</w:t>
      </w:r>
      <w:r>
        <w:tab/>
      </w:r>
      <w:r>
        <w:t>B．苏</w:t>
      </w:r>
      <w:r>
        <w:tab/>
      </w:r>
      <w:r>
        <w:rPr>
          <w:color w:val="0000FF"/>
        </w:rPr>
        <w:t>C．辽</w:t>
      </w:r>
      <w:r>
        <w:tab/>
      </w:r>
      <w:r>
        <w:t>D．琼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18</w:t>
      </w:r>
      <w:r>
        <w:t>．黑龙江人口流出可能导致（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t>劳动密集型产业转移</w:t>
      </w:r>
      <w:r>
        <w:tab/>
      </w:r>
      <w:r>
        <w:t>B．居民平均消费水平提高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C．改变我国人口分布总格局</w:t>
      </w:r>
      <w:r>
        <w:tab/>
      </w:r>
      <w:r>
        <w:rPr>
          <w:color w:val="0000FF"/>
        </w:rPr>
        <w:t>D．当地环境压力减小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center"/>
      </w:pPr>
      <w:r>
        <w:rPr>
          <w:rFonts w:ascii="楷体" w:hAnsi="楷体" w:eastAsia="楷体" w:cs="楷体"/>
        </w:rPr>
        <w:t>随着科技的发展，商用清洁机器人正在逐渐进入人们的视野，商用清洁机器人是集清扫、垃圾自动倾倒、降尘于一体的智能扫地设备，适用于工业园区、大学校园、景区、广场、健身步道、大型社区等场景，其能-够胜任清扫落叶、沙石、粉尘、工业废渣、饮料瓶、纸团等工作，清洁效率为6000m²/h，平均续航时间为4h。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19</w:t>
      </w:r>
      <w:r>
        <w:t>．商用清洁机器人目前尚未被大范围推广，推测其主要原因是（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A．工作效率不高</w:t>
      </w:r>
      <w:r>
        <w:tab/>
      </w:r>
      <w:r>
        <w:t>B．操作难度较大</w:t>
      </w:r>
      <w:r>
        <w:tab/>
      </w:r>
      <w:r>
        <w:rPr>
          <w:color w:val="0000FF"/>
        </w:rPr>
        <w:t>C．购置成本较高</w:t>
      </w:r>
      <w:r>
        <w:tab/>
      </w:r>
      <w:r>
        <w:t>D．设备适应性不强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20</w:t>
      </w:r>
      <w:r>
        <w:t>．商用清洁机器人在运行过程中需要用到地理信息技术的功能有（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center"/>
      </w:pPr>
      <w:r>
        <w:t>①导航</w:t>
      </w:r>
      <w:r>
        <w:rPr>
          <w:rFonts w:hint="eastAsia"/>
          <w:lang w:val="en-US" w:eastAsia="zh-CN"/>
        </w:rPr>
        <w:t xml:space="preserve"> </w:t>
      </w:r>
      <w:r>
        <w:t>②授时</w:t>
      </w:r>
      <w:r>
        <w:rPr>
          <w:rFonts w:hint="eastAsia"/>
          <w:lang w:val="en-US" w:eastAsia="zh-CN"/>
        </w:rPr>
        <w:t xml:space="preserve"> </w:t>
      </w:r>
      <w:r>
        <w:t>③分析</w:t>
      </w:r>
      <w:r>
        <w:rPr>
          <w:rFonts w:hint="eastAsia"/>
          <w:lang w:val="en-US" w:eastAsia="zh-CN"/>
        </w:rPr>
        <w:t xml:space="preserve"> </w:t>
      </w:r>
      <w:r>
        <w:t>④表达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我国石油对外依存度高且以海运为主。一般将流量大于均值的货流线称为显著流。下图</w:t>
      </w:r>
      <w:r>
        <w:rPr>
          <w:rFonts w:hint="eastAsia" w:ascii="楷体" w:hAnsi="楷体" w:eastAsia="楷体" w:cs="楷体"/>
          <w:lang w:eastAsia="zh-CN"/>
        </w:rPr>
        <w:t>为</w:t>
      </w:r>
      <w:r>
        <w:rPr>
          <w:rFonts w:ascii="楷体" w:hAnsi="楷体" w:eastAsia="楷体" w:cs="楷体"/>
        </w:rPr>
        <w:t>我国海上丝绸之路进口原油货流在八大区域的分布脆弱度（单位时间内港口最大流量</w:t>
      </w:r>
      <w:r>
        <w:t>/</w:t>
      </w:r>
      <w:r>
        <w:rPr>
          <w:rFonts w:ascii="楷体" w:hAnsi="楷体" w:eastAsia="楷体" w:cs="楷体"/>
        </w:rPr>
        <w:t>总流量）和集中度（某港口货流量</w:t>
      </w:r>
      <w:r>
        <w:t>/</w:t>
      </w:r>
      <w:r>
        <w:rPr>
          <w:rFonts w:ascii="楷体" w:hAnsi="楷体" w:eastAsia="楷体" w:cs="楷体"/>
        </w:rPr>
        <w:t>区域内所有港口货流总量）及显著流占总流量比例。读图完成下面小题。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86835" cy="1398270"/>
            <wp:effectExtent l="0" t="0" r="18415" b="11430"/>
            <wp:docPr id="8" name="图片 8" descr="@@@6b2d3440-1f75-4cec-a833-f48d0ac86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6b2d3440-1f75-4cec-a833-f48d0ac861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21</w:t>
      </w:r>
      <w:r>
        <w:t>．影响海上丝绸之路集装箱海运网络脆弱性的因素包括（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center"/>
      </w:pPr>
      <w:r>
        <w:t>①货流集中②货物种类③气象海况④恐怖活动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rPr>
          <w:color w:val="0000FF"/>
        </w:rPr>
        <w:t>C．①③④</w:t>
      </w:r>
      <w:r>
        <w:tab/>
      </w:r>
      <w:r>
        <w:t>D．②③④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22</w:t>
      </w:r>
      <w:r>
        <w:t>．我国与南非之间原油货流脆弱度和集中度都较高的主要原因是（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rPr>
          <w:color w:val="0000FF"/>
        </w:rPr>
        <w:t>A．区域内核心港口少</w:t>
      </w:r>
      <w:r>
        <w:tab/>
      </w:r>
      <w:r>
        <w:t>B．原油贸易总流量大</w: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</w:pPr>
      <w:r>
        <w:t>C．区域内核心港口多</w:t>
      </w:r>
      <w:r>
        <w:tab/>
      </w:r>
      <w:r>
        <w:t>D．原油贸易总流量小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t>2</w:t>
      </w:r>
      <w:r>
        <w:rPr>
          <w:rFonts w:hint="eastAsia"/>
          <w:lang w:val="en-US" w:eastAsia="zh-CN"/>
        </w:rPr>
        <w:t>3</w:t>
      </w:r>
      <w:r>
        <w:t>．能有效推动海上丝绸之路石油贸易可持续发展的做法是（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jc w:val="left"/>
        <w:textAlignment w:val="center"/>
      </w:pPr>
      <w:r>
        <w:t>①加强建设具备潜力的中小港口②提高港口的集中度和显著流的货流总量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 w:firstLineChars="100"/>
        <w:jc w:val="left"/>
        <w:textAlignment w:val="center"/>
      </w:pPr>
      <w:r>
        <w:t>③挂靠优势港口，扩大沿海地区的开放格局④增建海外自贸区，增强原油贸易活力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00"/>
        <w:jc w:val="left"/>
        <w:textAlignment w:val="center"/>
        <w:rPr>
          <w:lang w:val="en-US" w:eastAsia="zh-CN"/>
        </w:rPr>
      </w:pPr>
      <w:r>
        <w:t>A．①③</w:t>
      </w:r>
      <w:r>
        <w:tab/>
      </w:r>
      <w:r>
        <w:rPr>
          <w:color w:val="0000FF"/>
        </w:rP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rPr>
          <w:rFonts w:hint="eastAsia" w:ascii="黑体" w:hAnsi="宋体" w:eastAsia="黑体" w:cs="黑体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20"/>
          <w:szCs w:val="20"/>
          <w:lang w:val="en-US" w:eastAsia="zh-CN" w:bidi="ar"/>
        </w:rPr>
        <w:t>非选择题：本大题共</w:t>
      </w:r>
      <w:r>
        <w:rPr>
          <w:rFonts w:hint="eastAsia" w:ascii="黑体" w:hAnsi="宋体" w:eastAsia="黑体" w:cs="黑体"/>
          <w:b/>
          <w:bCs/>
          <w:color w:val="000000"/>
          <w:kern w:val="0"/>
          <w:sz w:val="20"/>
          <w:szCs w:val="20"/>
          <w:lang w:val="en-US" w:eastAsia="zh-CN" w:bidi="ar"/>
        </w:rPr>
        <w:t>3小题，共计54分。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24</w:t>
      </w:r>
      <w:r>
        <w:t>．阅读图文材料，回答下列要求。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871855</wp:posOffset>
            </wp:positionV>
            <wp:extent cx="2703830" cy="2580005"/>
            <wp:effectExtent l="0" t="0" r="1270" b="10795"/>
            <wp:wrapSquare wrapText="bothSides"/>
            <wp:docPr id="1" name="图片 1" descr="@@@76aada37-87b3-4eaa-8d88-5cfce0b60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76aada37-87b3-4eaa-8d88-5cfce0b60a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佛山西樵山形成于早第三纪，由于火山形成后的构造运动和外力作用，形成了如今山上有72山峰（最高峰34</w:t>
      </w:r>
      <w:r>
        <w:rPr>
          <w:rFonts w:hint="eastAsia" w:ascii="楷体" w:hAnsi="楷体" w:eastAsia="楷体" w:cs="楷体"/>
          <w:lang w:val="en-US" w:eastAsia="zh-CN"/>
        </w:rPr>
        <w:t>6</w:t>
      </w:r>
      <w:r>
        <w:rPr>
          <w:rFonts w:ascii="楷体" w:hAnsi="楷体" w:eastAsia="楷体" w:cs="楷体"/>
        </w:rPr>
        <w:t>米），232处泉眼，28处瀑布的地表形态。西樵山周边分布着大片三角洲平原，海拔3-4米。西樵山曾经作为采石场</w:t>
      </w:r>
      <w:r>
        <w:rPr>
          <w:rFonts w:hint="eastAsia" w:ascii="楷体" w:hAnsi="楷体" w:eastAsia="楷体" w:cs="楷体"/>
          <w:lang w:eastAsia="zh-CN"/>
        </w:rPr>
        <w:t>而</w:t>
      </w:r>
      <w:r>
        <w:rPr>
          <w:rFonts w:ascii="楷体" w:hAnsi="楷体" w:eastAsia="楷体" w:cs="楷体"/>
        </w:rPr>
        <w:t>植被破坏严重，禁止采石后植被迅速恢复。山中有一巨石----冬菇石，横列涧中，高约8尺，是从山上崩塌下来的巨大角砾凝灰岩块，长久受外力作用，上广下锐，四檐垂下，形似冬菇，下可蔽风雨。下图为西樵山及附近地貌类型图</w:t>
      </w:r>
      <w:r>
        <w:rPr>
          <w:rFonts w:hint="eastAsia" w:ascii="楷体" w:hAnsi="楷体" w:eastAsia="楷体" w:cs="楷体"/>
          <w:lang w:eastAsia="zh-CN"/>
        </w:rPr>
        <w:t>及冬菇石景观图</w:t>
      </w:r>
      <w:r>
        <w:rPr>
          <w:rFonts w:ascii="楷体" w:hAnsi="楷体" w:eastAsia="楷体" w:cs="楷体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55245</wp:posOffset>
            </wp:positionV>
            <wp:extent cx="1664970" cy="1662430"/>
            <wp:effectExtent l="0" t="0" r="11430" b="0"/>
            <wp:wrapSquare wrapText="bothSides"/>
            <wp:docPr id="5" name="图片 5" descr="@@@559c1390950f47d4807232ce8db6d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559c1390950f47d4807232ce8db6d048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  <a:lum bright="-18000"/>
                    </a:blip>
                    <a:srcRect l="58552" b="3901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33020</wp:posOffset>
                </wp:positionV>
                <wp:extent cx="1348105" cy="781050"/>
                <wp:effectExtent l="3175" t="5715" r="20320" b="1333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88615" y="6856730"/>
                          <a:ext cx="1348105" cy="7810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6.45pt;margin-top:2.6pt;height:61.5pt;width:106.15pt;z-index:251664384;mso-width-relative:page;mso-height-relative:page;" filled="f" stroked="t" coordsize="21600,21600" o:gfxdata="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AZU71wAAAAkBAAAPAAAAAAAAAAEAIAAAACIAAABkcnMvZG93bnJl&#10;di54bWxQSwECFAAUAAAACACHTuJAkqp/9v4BAADPAwAADgAAAAAAAAABACAAAAAmAQAAZHJzL2Uy&#10;b0RvYy54bWxQSwUGAAAAAAYABgBZAQAAlgUAAAAA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9525</wp:posOffset>
                </wp:positionV>
                <wp:extent cx="75565" cy="75565"/>
                <wp:effectExtent l="6350" t="6350" r="13335" b="1333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0515" y="7637780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1.95pt;margin-top:0.75pt;height:5.95pt;width:5.95pt;z-index:251663360;v-text-anchor:middle;mso-width-relative:page;mso-height-relative:page;" fillcolor="#000000 [3213]" filled="t" stroked="t" coordsize="21600,21600" o:gfxdata="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sWG5z1gAAAAgBAAAPAAAAAAAAAAEAIAAAACIAAABkcnMvZG93&#10;bnJldi54bWxQSwECFAAUAAAACACHTuJA+sRq/HQCAAAABQAADgAAAAAAAAABACAAAAAlAQAAZHJz&#10;L2Uyb0RvYy54bWxQSwUGAAAAAAYABgBZAQAACwYAAAAA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47625</wp:posOffset>
                </wp:positionV>
                <wp:extent cx="1314450" cy="323850"/>
                <wp:effectExtent l="1270" t="6350" r="17780" b="1270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50845" y="7628255"/>
                          <a:ext cx="1314450" cy="3238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.85pt;margin-top:3.75pt;height:25.5pt;width:103.5pt;z-index:251665408;mso-width-relative:page;mso-height-relative:page;" filled="f" stroked="t" coordsize="21600,21600" o:gfxdata="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/Gji9UAAAAIAQAADwAAAAAAAAABACAAAAAiAAAAZHJzL2Rvd25yZXYueG1sUEsB&#10;AhQAFAAAAAgAh07iQHVFGq34AQAAxwMAAA4AAAAAAAAAAQAgAAAAJAEAAGRycy9lMm9Eb2MueG1s&#10;UEsFBgAAAAAGAAYAWQEAAI4FAAAAAA=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t>简述西樵山多泉水出露的原因。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t>从外力作用的角度，推测冬菇石顶部硕大较圆滑、根部较小的原因。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t>据图描述西樵山附近冲积扇的分布规律，并分析其形成过程。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25</w:t>
      </w:r>
      <w:r>
        <w:t>．阅读材料，完成下列问题。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材料一：广深科技创新走廊连接广州、深圳、东莞等三市，长度约180多公里，着重打造产业联动、空间联结、功能贯穿的创新经济带，目标是打造中国“硅谷”。深圳通过多次重大产业升级，经历了从低端劳动密集型产业到规模化、集群化代工模式，再到新能源、新材料、互联网等高技术产业的发展，实现了从“深圳制造”到“深圳创造”的华丽转身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材料二：图为广深科技创新走廊示意图。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center"/>
      </w:pPr>
      <w:r>
        <w:drawing>
          <wp:inline distT="0" distB="0" distL="114300" distR="114300">
            <wp:extent cx="3744595" cy="2628265"/>
            <wp:effectExtent l="0" t="0" r="825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hd w:val="clear" w:color="auto" w:fill="FFFFFF"/>
        <w:spacing w:line="360" w:lineRule="auto"/>
        <w:jc w:val="left"/>
        <w:textAlignment w:val="center"/>
      </w:pPr>
      <w:r>
        <w:t>与前两个产业发展阶段相比，简述深圳进入第三阶段后产业区位优势的变化。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numPr>
          <w:ilvl w:val="0"/>
          <w:numId w:val="3"/>
        </w:numPr>
        <w:shd w:val="clear" w:color="auto" w:fill="FFFFFF"/>
        <w:spacing w:line="360" w:lineRule="auto"/>
        <w:ind w:left="0" w:leftChars="0" w:firstLine="0" w:firstLineChars="0"/>
        <w:jc w:val="left"/>
        <w:textAlignment w:val="center"/>
      </w:pPr>
      <w:r>
        <w:t>分析深圳、广州、东莞三市基于产业协同发展的各自功能定位。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shd w:val="clear" w:color="auto" w:fill="FFFFFF"/>
        <w:spacing w:line="360" w:lineRule="auto"/>
        <w:ind w:leftChars="0"/>
        <w:jc w:val="left"/>
        <w:textAlignment w:val="center"/>
      </w:pPr>
    </w:p>
    <w:p>
      <w:pPr>
        <w:numPr>
          <w:ilvl w:val="0"/>
          <w:numId w:val="0"/>
        </w:numPr>
        <w:shd w:val="clear" w:color="auto" w:fill="FFFFFF"/>
        <w:spacing w:line="360" w:lineRule="auto"/>
        <w:ind w:leftChars="0"/>
        <w:jc w:val="left"/>
        <w:textAlignment w:val="center"/>
      </w:pPr>
    </w:p>
    <w:p>
      <w:pPr>
        <w:numPr>
          <w:ilvl w:val="0"/>
          <w:numId w:val="3"/>
        </w:numPr>
        <w:shd w:val="clear" w:color="auto" w:fill="FFFFFF"/>
        <w:spacing w:line="360" w:lineRule="auto"/>
        <w:ind w:left="0" w:leftChars="0" w:firstLine="0" w:firstLineChars="0"/>
        <w:jc w:val="left"/>
        <w:textAlignment w:val="center"/>
      </w:pPr>
      <w:r>
        <w:t>从区域关联角度简述三市协同发展的措施。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rFonts w:hint="eastAsia"/>
          <w:color w:val="000000"/>
          <w:lang w:val="en-US" w:eastAsia="zh-CN"/>
        </w:rPr>
        <w:t>6</w:t>
      </w:r>
      <w:r>
        <w:t>．</w:t>
      </w:r>
      <w:r>
        <w:rPr>
          <w:rFonts w:ascii="宋体" w:hAnsi="宋体" w:eastAsia="宋体" w:cs="宋体"/>
          <w:color w:val="000000"/>
        </w:rPr>
        <w:t>阅读图文资料</w:t>
      </w:r>
      <w:r>
        <w:t>，</w:t>
      </w:r>
      <w:r>
        <w:rPr>
          <w:rFonts w:ascii="宋体" w:hAnsi="宋体" w:eastAsia="宋体" w:cs="宋体"/>
          <w:color w:val="000000"/>
        </w:rPr>
        <w:t>完成下列要求。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西辽河流域地处我国北方农牧交错带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楷体" w:hAnsi="楷体" w:eastAsia="楷体" w:cs="楷体"/>
          <w:color w:val="000000"/>
        </w:rPr>
        <w:t>面积约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楷体" w:hAnsi="楷体" w:eastAsia="楷体" w:cs="楷体"/>
          <w:color w:val="000000"/>
        </w:rPr>
        <w:t>万平方千米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楷体" w:hAnsi="楷体" w:eastAsia="楷体" w:cs="楷体"/>
          <w:color w:val="000000"/>
        </w:rPr>
        <w:t>平均降水量</w:t>
      </w:r>
      <w:r>
        <w:rPr>
          <w:rFonts w:ascii="Times New Roman" w:hAnsi="Times New Roman" w:eastAsia="Times New Roman" w:cs="Times New Roman"/>
          <w:color w:val="000000"/>
        </w:rPr>
        <w:t>375</w:t>
      </w:r>
      <w:r>
        <w:rPr>
          <w:rFonts w:ascii="楷体" w:hAnsi="楷体" w:eastAsia="楷体" w:cs="楷体"/>
          <w:color w:val="000000"/>
        </w:rPr>
        <w:t>毫米。随着人口的增长和农牧业的发展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楷体" w:hAnsi="楷体" w:eastAsia="楷体" w:cs="楷体"/>
          <w:color w:val="000000"/>
        </w:rPr>
        <w:t>其环境问题日益严重。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楷体" w:hAnsi="楷体" w:eastAsia="楷体" w:cs="楷体"/>
          <w:color w:val="000000"/>
        </w:rPr>
        <w:t>西辽河流域示意图</w:t>
      </w:r>
      <w:r>
        <w:rPr>
          <w:rFonts w:ascii="Times New Roman" w:hAnsi="Times New Roman" w:eastAsia="Times New Roman" w:cs="Times New Roman"/>
          <w:color w:val="000000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ascii="Times New Roman" w:hAnsi="Times New Roman" w:eastAsia="Times New Roman" w:cs="Times New Roman"/>
          <w:color w:val="000000"/>
        </w:rPr>
        <w:t>“1995-2005</w:t>
      </w:r>
      <w:r>
        <w:rPr>
          <w:rFonts w:ascii="楷体" w:hAnsi="楷体" w:eastAsia="楷体" w:cs="楷体"/>
          <w:color w:val="000000"/>
        </w:rPr>
        <w:t>年西辽河流域各土地利用类型数量的变化示意图</w:t>
      </w:r>
      <w:r>
        <w:rPr>
          <w:rFonts w:ascii="Times New Roman" w:hAnsi="Times New Roman" w:eastAsia="Times New Roman" w:cs="Times New Roman"/>
          <w:color w:val="000000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210"/>
        <w:jc w:val="left"/>
        <w:textAlignment w:val="center"/>
        <w:rPr>
          <w:rFonts w:hint="eastAsia" w:ascii="楷体" w:hAnsi="楷体" w:eastAsia="楷体" w:cs="楷体"/>
          <w:color w:val="000000"/>
          <w:lang w:eastAsia="zh-CN"/>
        </w:rPr>
      </w:pPr>
      <w:r>
        <w:rPr>
          <w:rFonts w:ascii="楷体" w:hAnsi="楷体" w:eastAsia="楷体" w:cs="楷体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47625</wp:posOffset>
            </wp:positionV>
            <wp:extent cx="4129405" cy="2550795"/>
            <wp:effectExtent l="0" t="0" r="4445" b="190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189230</wp:posOffset>
            </wp:positionV>
            <wp:extent cx="3139440" cy="1492250"/>
            <wp:effectExtent l="0" t="0" r="3810" b="12700"/>
            <wp:wrapSquare wrapText="bothSides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从自然环境整体性的角度</w:t>
      </w:r>
      <w:r>
        <w:t>，</w:t>
      </w:r>
      <w:r>
        <w:rPr>
          <w:rFonts w:ascii="宋体" w:hAnsi="宋体" w:eastAsia="宋体" w:cs="宋体"/>
          <w:color w:val="000000"/>
        </w:rPr>
        <w:t>说明大兴安岭对西辽河流域自然环境特征的影响。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指出西辽河流域不同地域适宜发展的主要农业类型。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color w:val="000000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left"/>
        <w:textAlignment w:val="center"/>
        <w:sectPr>
          <w:footerReference r:id="rId3" w:type="default"/>
          <w:footerReference r:id="rId4" w:type="even"/>
          <w:pgSz w:w="10433" w:h="14742"/>
          <w:pgMar w:top="850" w:right="850" w:bottom="850" w:left="850" w:header="500" w:footer="500" w:gutter="0"/>
          <w:cols w:space="425" w:num="1" w:sep="1"/>
          <w:docGrid w:type="lines" w:linePitch="312" w:charSpace="0"/>
        </w:sect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推测西辽河流域农牧业分界线的空间变化特征</w:t>
      </w:r>
      <w:r>
        <w:t>，</w:t>
      </w:r>
      <w:r>
        <w:rPr>
          <w:rFonts w:ascii="宋体" w:hAnsi="宋体" w:eastAsia="宋体" w:cs="宋体"/>
          <w:color w:val="000000"/>
        </w:rPr>
        <w:t>简析农业生产过程中可能引发的环境问题。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1968" w:firstLineChars="700"/>
        <w:jc w:val="both"/>
        <w:textAlignment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高三第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学期期初调研测试</w:t>
      </w:r>
      <w:r>
        <w:rPr>
          <w:rFonts w:hint="eastAsia" w:cs="Times New Roman"/>
          <w:b/>
          <w:bCs/>
          <w:sz w:val="28"/>
          <w:szCs w:val="28"/>
          <w:lang w:eastAsia="zh-CN"/>
        </w:rPr>
        <w:t>地理答案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1-23   ABDDC   C</w:t>
      </w:r>
      <w:bookmarkStart w:id="0" w:name="_GoBack"/>
      <w:bookmarkEnd w:id="0"/>
      <w:r>
        <w:rPr>
          <w:rFonts w:hint="eastAsia"/>
          <w:lang w:val="en-US" w:eastAsia="zh-CN"/>
        </w:rPr>
        <w:t>DDBA    CACCD    BCDCA    CAB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(1)位于亚热带季风气候区，降水丰富；山上植被多，下渗水量大，地下水补给充足；西樵山属于古火山，地质构造活跃，多断层裂隙；地下水沿裂隙涌出成众多泉水。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(2)冬菇石顶部暴露，长时间受球形风化作用而成；底部流水侵蚀、冲刷作用明显，最终岩体变小。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(3)规律：新、老冲积扇均分布在山麓地带，成环状；新冲积扇数量较少，叠置于老冲积扇上。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过程：早期大量采石时，植被破坏，水土流失明显，形成较大范围的老冲积扇；禁止采石后，植被恢复，在沟谷出山口处流速减慢泥沙堆积形成叠置在上的新冲积扇。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25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（1）资金雄厚，基础扎实；技术水平高（科技水平领先）；管理经验丰富；核心创新平台多；高素质人才集聚；环境优美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（2）广州：科研创新基地；互联网创新集聚区</w:t>
      </w:r>
      <w:r>
        <w:rPr>
          <w:rFonts w:hint="eastAsia"/>
          <w:lang w:eastAsia="zh-CN"/>
        </w:rPr>
        <w:t>。</w:t>
      </w:r>
      <w:r>
        <w:t>东莞：先进的制造业基地</w:t>
      </w:r>
      <w:r>
        <w:rPr>
          <w:rFonts w:hint="eastAsia"/>
          <w:lang w:eastAsia="zh-CN"/>
        </w:rPr>
        <w:t>。</w:t>
      </w:r>
      <w:r>
        <w:t>深圳：高新科技企业；现代化服务业；生命科学产业集聚区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（3）产业分工协作；共管共治环境污染；提高资源利用率；构建现代化快速交通网；加强信息网络等基础设施建设；优化城市布局及空间结构；完善人才流动机制。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pacing w:line="360" w:lineRule="auto"/>
        <w:textAlignment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26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18分</w:t>
      </w:r>
      <w:r>
        <w:rPr>
          <w:rFonts w:hint="eastAsia"/>
          <w:lang w:eastAsia="zh-CN"/>
        </w:rPr>
        <w:t>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（1）冬春季节阻挡风沙侵袭，减轻危害；夏季山地东南侧迎风坡，降水较多；为河流的源地，提供水源。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（2）大兴安岭海拔较高的山区发展林业；山麓及丘陵地带发展畜牧业；灌溉条件较好的东部平原发展种植业；河流、水库发展水产养殖业。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（3）变化特征：从东南向西北迁移。环境问题：过度砍伐，造成森林破坏，水土流失；过度放牧，破坏草原；过度开垦，土地沙化；不合理灌排，造成土地次生盐碱化；农业用水量增大，造成水资源短缺。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6分</w:t>
      </w:r>
      <w:r>
        <w:rPr>
          <w:rFonts w:hint="eastAsia"/>
          <w:lang w:eastAsia="zh-CN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hd w:val="clear" w:color="auto" w:fill="FFFFFF"/>
        <w:spacing w:line="360" w:lineRule="auto"/>
        <w:jc w:val="left"/>
        <w:textAlignment w:val="center"/>
        <w:rPr>
          <w:rFonts w:hint="eastAsia" w:eastAsia="宋体"/>
          <w:lang w:eastAsia="zh-CN"/>
        </w:rPr>
        <w:sectPr>
          <w:footerReference r:id="rId5" w:type="default"/>
          <w:footerReference r:id="rId6" w:type="even"/>
          <w:pgSz w:w="10433" w:h="14742"/>
          <w:pgMar w:top="850" w:right="850" w:bottom="850" w:left="850" w:header="500" w:footer="50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 w:sep="1"/>
          <w:docGrid w:type="lines" w:linePitch="312" w:charSpace="0"/>
        </w:sectPr>
      </w:pPr>
    </w:p>
    <w:p>
      <w:pPr>
        <w:shd w:val="clear" w:color="auto" w:fill="FFFFFF"/>
        <w:spacing w:line="360" w:lineRule="auto"/>
        <w:jc w:val="left"/>
        <w:textAlignment w:val="center"/>
      </w:pPr>
    </w:p>
    <w:sectPr>
      <w:headerReference r:id="rId7" w:type="default"/>
      <w:footerReference r:id="rId9" w:type="default"/>
      <w:headerReference r:id="rId8" w:type="even"/>
      <w:footerReference r:id="rId10" w:type="even"/>
      <w:pgSz w:w="11906" w:h="16838"/>
      <w:pgMar w:top="850" w:right="850" w:bottom="850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0" w:firstLineChars="2000"/>
      <w:jc w:val="both"/>
    </w:pP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0" w:firstLineChars="2000"/>
      <w:jc w:val="both"/>
    </w:pP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4661B8"/>
    <w:multiLevelType w:val="singleLevel"/>
    <w:tmpl w:val="E04661B8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0232D1C4"/>
    <w:multiLevelType w:val="singleLevel"/>
    <w:tmpl w:val="0232D1C4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0DC60F6D"/>
    <w:multiLevelType w:val="singleLevel"/>
    <w:tmpl w:val="0DC60F6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4CC7A61"/>
    <w:multiLevelType w:val="singleLevel"/>
    <w:tmpl w:val="34CC7A6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iZWI2NmQwOWIzMjgyMDczMGVkNmQ2YmZmNDIzNTM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  <w:rsid w:val="01157F14"/>
    <w:rsid w:val="0B1D50BA"/>
    <w:rsid w:val="0C063DA0"/>
    <w:rsid w:val="130B7EEE"/>
    <w:rsid w:val="13833F28"/>
    <w:rsid w:val="142A07E4"/>
    <w:rsid w:val="18786026"/>
    <w:rsid w:val="1C5B5A42"/>
    <w:rsid w:val="1F3965CE"/>
    <w:rsid w:val="2A495A74"/>
    <w:rsid w:val="2C8965FC"/>
    <w:rsid w:val="2E0E0B66"/>
    <w:rsid w:val="2FC31E25"/>
    <w:rsid w:val="3561705E"/>
    <w:rsid w:val="3EA82911"/>
    <w:rsid w:val="45A007E6"/>
    <w:rsid w:val="48233009"/>
    <w:rsid w:val="49E836A7"/>
    <w:rsid w:val="4F33421B"/>
    <w:rsid w:val="504F7091"/>
    <w:rsid w:val="50D41344"/>
    <w:rsid w:val="56905D0D"/>
    <w:rsid w:val="56D025AE"/>
    <w:rsid w:val="579E445A"/>
    <w:rsid w:val="58AC2BA6"/>
    <w:rsid w:val="5A9F0C15"/>
    <w:rsid w:val="5AED1980"/>
    <w:rsid w:val="5FE01AB3"/>
    <w:rsid w:val="60E029CC"/>
    <w:rsid w:val="62DD6DBB"/>
    <w:rsid w:val="77561AF7"/>
    <w:rsid w:val="78A31478"/>
    <w:rsid w:val="7AD973D3"/>
    <w:rsid w:val="7B7470FC"/>
    <w:rsid w:val="7D9E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土豆麻麻</cp:lastModifiedBy>
  <dcterms:modified xsi:type="dcterms:W3CDTF">2024-03-02T00:45:50Z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07340ecc12f741ef9b01200a2b7450a7mjmwntu5odqxnq</vt:lpwstr>
  </property>
  <property fmtid="{D5CDD505-2E9C-101B-9397-08002B2CF9AE}" pid="4" name="KSOProductBuildVer">
    <vt:lpwstr>2052-12.1.0.16388</vt:lpwstr>
  </property>
  <property fmtid="{D5CDD505-2E9C-101B-9397-08002B2CF9AE}" pid="5" name="ICV">
    <vt:lpwstr>826659111A9A412E9F9CBA0CF6BB607E_13</vt:lpwstr>
  </property>
</Properties>
</file>