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sz w:val="30"/>
        </w:rPr>
      </w:pPr>
      <w:r>
        <w:rPr>
          <w:rFonts w:hint="eastAsia" w:ascii="黑体" w:hAnsi="黑体" w:eastAsia="黑体" w:cs="黑体"/>
          <w:b/>
          <w:sz w:val="30"/>
        </w:rPr>
        <w:t>江苏省仪征中学2024届高三政治滚动练习</w:t>
      </w:r>
      <w:r>
        <w:rPr>
          <w:rFonts w:hint="eastAsia" w:ascii="黑体" w:hAnsi="黑体" w:eastAsia="黑体" w:cs="黑体"/>
          <w:b/>
          <w:sz w:val="30"/>
          <w:lang w:val="en-US" w:eastAsia="zh-CN"/>
        </w:rPr>
        <w:t>5</w:t>
      </w:r>
      <w:r>
        <w:rPr>
          <w:rFonts w:ascii="黑体" w:hAnsi="黑体" w:eastAsia="黑体" w:cs="黑体"/>
          <w:b/>
          <w:sz w:val="30"/>
        </w:rPr>
        <w:t xml:space="preserve">     </w:t>
      </w:r>
    </w:p>
    <w:p>
      <w:pPr>
        <w:spacing w:line="264" w:lineRule="auto"/>
        <w:ind w:firstLine="2310" w:firstLineChars="1100"/>
        <w:jc w:val="left"/>
        <w:textAlignment w:val="center"/>
        <w:rPr>
          <w:rFonts w:ascii="宋体" w:hAnsi="宋体" w:cs="宋体"/>
        </w:rPr>
      </w:pPr>
      <w:r>
        <w:rPr>
          <w:rFonts w:hint="eastAsia" w:ascii="宋体" w:hAnsi="宋体" w:cs="宋体"/>
        </w:rPr>
        <w:t>班级：</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姓名：</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b/>
          <w:bCs/>
        </w:rPr>
        <w:t>选择题错误数量：</w:t>
      </w:r>
      <w:r>
        <w:rPr>
          <w:rFonts w:hint="eastAsia" w:ascii="宋体" w:hAnsi="宋体" w:cs="宋体"/>
          <w:b/>
          <w:bCs/>
          <w:u w:val="single"/>
        </w:rPr>
        <w:t xml:space="preserve"> </w:t>
      </w:r>
      <w:r>
        <w:rPr>
          <w:rFonts w:ascii="宋体" w:hAnsi="宋体" w:cs="宋体"/>
          <w:b/>
          <w:bCs/>
          <w:u w:val="single"/>
        </w:rPr>
        <w:t xml:space="preserve">         </w:t>
      </w:r>
      <w:r>
        <w:rPr>
          <w:rFonts w:ascii="宋体" w:hAnsi="宋体" w:cs="宋体"/>
        </w:rPr>
        <w:t xml:space="preserve">  </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881"/>
        <w:gridCol w:w="901"/>
        <w:gridCol w:w="901"/>
        <w:gridCol w:w="901"/>
        <w:gridCol w:w="901"/>
        <w:gridCol w:w="901"/>
        <w:gridCol w:w="901"/>
        <w:gridCol w:w="882"/>
        <w:gridCol w:w="86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8"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题号</w:t>
            </w:r>
          </w:p>
        </w:tc>
        <w:tc>
          <w:tcPr>
            <w:tcW w:w="88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1</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2</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3</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4</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5</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6</w:t>
            </w:r>
          </w:p>
        </w:tc>
        <w:tc>
          <w:tcPr>
            <w:tcW w:w="901"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7</w:t>
            </w:r>
          </w:p>
        </w:tc>
        <w:tc>
          <w:tcPr>
            <w:tcW w:w="882"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8</w:t>
            </w:r>
          </w:p>
        </w:tc>
        <w:tc>
          <w:tcPr>
            <w:tcW w:w="862"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9</w:t>
            </w:r>
          </w:p>
        </w:tc>
        <w:tc>
          <w:tcPr>
            <w:tcW w:w="855"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1</w:t>
            </w:r>
            <w:r>
              <w:rPr>
                <w:rFonts w:ascii="黑体" w:hAnsi="黑体" w:eastAsia="黑体" w:cs="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8" w:type="dxa"/>
          </w:tcPr>
          <w:p>
            <w:pPr>
              <w:spacing w:line="288" w:lineRule="auto"/>
              <w:jc w:val="center"/>
              <w:rPr>
                <w:rFonts w:ascii="黑体" w:hAnsi="黑体" w:eastAsia="黑体" w:cs="宋体"/>
                <w:kern w:val="0"/>
                <w:sz w:val="21"/>
                <w:szCs w:val="21"/>
              </w:rPr>
            </w:pPr>
            <w:r>
              <w:rPr>
                <w:rFonts w:hint="eastAsia" w:ascii="黑体" w:hAnsi="黑体" w:eastAsia="黑体" w:cs="宋体"/>
                <w:kern w:val="0"/>
                <w:sz w:val="21"/>
                <w:szCs w:val="21"/>
              </w:rPr>
              <w:t>答案</w:t>
            </w:r>
          </w:p>
        </w:tc>
        <w:tc>
          <w:tcPr>
            <w:tcW w:w="88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901" w:type="dxa"/>
          </w:tcPr>
          <w:p>
            <w:pPr>
              <w:spacing w:line="288" w:lineRule="auto"/>
              <w:jc w:val="center"/>
              <w:rPr>
                <w:rFonts w:ascii="黑体" w:hAnsi="黑体" w:eastAsia="黑体" w:cs="宋体"/>
                <w:kern w:val="0"/>
                <w:sz w:val="21"/>
                <w:szCs w:val="21"/>
              </w:rPr>
            </w:pPr>
          </w:p>
        </w:tc>
        <w:tc>
          <w:tcPr>
            <w:tcW w:w="882" w:type="dxa"/>
          </w:tcPr>
          <w:p>
            <w:pPr>
              <w:spacing w:line="288" w:lineRule="auto"/>
              <w:jc w:val="center"/>
              <w:rPr>
                <w:rFonts w:ascii="黑体" w:hAnsi="黑体" w:eastAsia="黑体" w:cs="宋体"/>
                <w:kern w:val="0"/>
                <w:sz w:val="21"/>
                <w:szCs w:val="21"/>
              </w:rPr>
            </w:pPr>
          </w:p>
        </w:tc>
        <w:tc>
          <w:tcPr>
            <w:tcW w:w="862" w:type="dxa"/>
          </w:tcPr>
          <w:p>
            <w:pPr>
              <w:spacing w:line="288" w:lineRule="auto"/>
              <w:jc w:val="center"/>
              <w:rPr>
                <w:rFonts w:ascii="黑体" w:hAnsi="黑体" w:eastAsia="黑体" w:cs="宋体"/>
                <w:kern w:val="0"/>
                <w:sz w:val="21"/>
                <w:szCs w:val="21"/>
              </w:rPr>
            </w:pPr>
          </w:p>
        </w:tc>
        <w:tc>
          <w:tcPr>
            <w:tcW w:w="855" w:type="dxa"/>
          </w:tcPr>
          <w:p>
            <w:pPr>
              <w:spacing w:line="288" w:lineRule="auto"/>
              <w:jc w:val="center"/>
              <w:rPr>
                <w:rFonts w:ascii="黑体" w:hAnsi="黑体" w:eastAsia="黑体" w:cs="宋体"/>
                <w:kern w:val="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1．从期盼"第三新文明”到创造“人类文明新形态"深刻昭示（</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bookmarkStart w:id="0" w:name="_GoBack"/>
      <w:r>
        <w:rPr>
          <w:rFonts w:hint="eastAsia" w:ascii="宋体" w:hAnsi="宋体" w:eastAsia="宋体" w:cs="宋体"/>
          <w:strike w:val="0"/>
          <w:kern w:val="0"/>
          <w:sz w:val="24"/>
          <w:szCs w:val="24"/>
          <w:u w:val="none"/>
        </w:rPr>
        <w:drawing>
          <wp:anchor distT="0" distB="0" distL="114300" distR="114300" simplePos="0" relativeHeight="251659264" behindDoc="1" locked="0" layoutInCell="1" allowOverlap="1">
            <wp:simplePos x="0" y="0"/>
            <wp:positionH relativeFrom="column">
              <wp:posOffset>-123825</wp:posOffset>
            </wp:positionH>
            <wp:positionV relativeFrom="paragraph">
              <wp:posOffset>11430</wp:posOffset>
            </wp:positionV>
            <wp:extent cx="4353560" cy="1875790"/>
            <wp:effectExtent l="0" t="0" r="0" b="0"/>
            <wp:wrapTight wrapText="bothSides">
              <wp:wrapPolygon>
                <wp:start x="0" y="0"/>
                <wp:lineTo x="0" y="21278"/>
                <wp:lineTo x="21550" y="21278"/>
                <wp:lineTo x="21550" y="0"/>
                <wp:lineTo x="0" y="0"/>
              </wp:wrapPolygon>
            </wp:wrapTight>
            <wp:docPr id="100003" name="图片 100003" descr="@@@f72c349d-8d7f-4c9e-9fd8-345b423de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72c349d-8d7f-4c9e-9fd8-345b423def09"/>
                    <pic:cNvPicPr>
                      <a:picLocks noChangeAspect="1"/>
                    </pic:cNvPicPr>
                  </pic:nvPicPr>
                  <pic:blipFill>
                    <a:blip r:embed="rId6"/>
                    <a:stretch>
                      <a:fillRect/>
                    </a:stretch>
                  </pic:blipFill>
                  <pic:spPr>
                    <a:xfrm>
                      <a:off x="0" y="0"/>
                      <a:ext cx="4353560" cy="1875790"/>
                    </a:xfrm>
                    <a:prstGeom prst="rect">
                      <a:avLst/>
                    </a:prstGeom>
                  </pic:spPr>
                </pic:pic>
              </a:graphicData>
            </a:graphic>
          </wp:anchor>
        </w:drawing>
      </w:r>
      <w:bookmarkEnd w:id="0"/>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①第三新文明的设想为推动人类文明繁荣发展贡献了最佳道路</w:t>
      </w:r>
      <w:r>
        <w:rPr>
          <w:rFonts w:hint="eastAsia" w:ascii="宋体" w:hAnsi="宋体" w:cs="宋体"/>
          <w:lang w:val="en-US" w:eastAsia="zh-CN"/>
        </w:rPr>
        <w:t xml:space="preserve">    </w:t>
      </w:r>
      <w:r>
        <w:rPr>
          <w:rFonts w:hint="eastAsia" w:ascii="宋体" w:hAnsi="宋体" w:eastAsia="宋体" w:cs="宋体"/>
        </w:rPr>
        <w:t>A．①②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②各国历史的多样性是由人类社会发展的一般进程反映出来的</w:t>
      </w:r>
      <w:r>
        <w:rPr>
          <w:rFonts w:hint="eastAsia" w:ascii="宋体" w:hAnsi="宋体" w:cs="宋体"/>
          <w:lang w:val="en-US" w:eastAsia="zh-CN"/>
        </w:rPr>
        <w:t xml:space="preserve">    </w:t>
      </w:r>
      <w:r>
        <w:rPr>
          <w:rFonts w:hint="eastAsia" w:ascii="宋体" w:hAnsi="宋体" w:eastAsia="宋体" w:cs="宋体"/>
        </w:rPr>
        <w:t>B．①③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③中国共产党是带领中国人民创造人类文明新形态的核心力量</w:t>
      </w:r>
      <w:r>
        <w:rPr>
          <w:rFonts w:hint="eastAsia" w:ascii="宋体" w:hAnsi="宋体" w:cs="宋体"/>
          <w:lang w:val="en-US" w:eastAsia="zh-CN"/>
        </w:rPr>
        <w:t xml:space="preserve">    </w:t>
      </w:r>
      <w:r>
        <w:rPr>
          <w:rFonts w:hint="eastAsia" w:ascii="宋体" w:hAnsi="宋体" w:eastAsia="宋体" w:cs="宋体"/>
        </w:rPr>
        <w:t>C．②④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④人类文明新形态是坚持和发展中国特色社会主义的实践成果</w:t>
      </w:r>
      <w:r>
        <w:rPr>
          <w:rFonts w:hint="eastAsia" w:ascii="宋体" w:hAnsi="宋体" w:cs="宋体"/>
          <w:lang w:val="en-US" w:eastAsia="zh-CN"/>
        </w:rPr>
        <w:t xml:space="preserve">    </w:t>
      </w:r>
      <w:r>
        <w:rPr>
          <w:rFonts w:hint="eastAsia" w:ascii="宋体" w:hAnsi="宋体" w:eastAsia="宋体" w:cs="宋体"/>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2．陈某某系梅河口市某热电有限责任公司职工，因下阀井作业发生缺氧窒息。在阀井附近菜地干活的王某某，收到陈某某妻子求助后，迅速下井救人，但其救援并未成功，自己也因窒息昏倒在地。后王某某经救治后恢复意识，陈某某经救治无效死亡。王某某诉至梅河口市人民法院，要求某热电公司承担医疗费、护理费等。法院判决某热电公司赔偿王某某经济损失4万余元。对本案件理解正确的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①王某某见义勇为，弘扬了“舍己为人、友善互助”的社会主义核心价值观</w:t>
      </w:r>
      <w:r>
        <w:rPr>
          <w:rFonts w:hint="eastAsia" w:ascii="宋体" w:hAnsi="宋体" w:cs="宋体"/>
          <w:lang w:val="en-US" w:eastAsia="zh-CN"/>
        </w:rPr>
        <w:t xml:space="preserve">   </w:t>
      </w:r>
      <w:r>
        <w:rPr>
          <w:rFonts w:hint="eastAsia" w:ascii="宋体" w:hAnsi="宋体" w:eastAsia="宋体" w:cs="宋体"/>
        </w:rPr>
        <w:t>A．①②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②热电公司为受害者，陈某某下阀井作业窒息使得公司安全生产和形象受损</w:t>
      </w:r>
      <w:r>
        <w:rPr>
          <w:rFonts w:hint="eastAsia" w:ascii="宋体" w:hAnsi="宋体" w:cs="宋体"/>
          <w:lang w:val="en-US" w:eastAsia="zh-CN"/>
        </w:rPr>
        <w:t xml:space="preserve">   </w:t>
      </w:r>
      <w:r>
        <w:rPr>
          <w:rFonts w:hint="eastAsia" w:ascii="宋体" w:hAnsi="宋体" w:eastAsia="宋体" w:cs="宋体"/>
        </w:rPr>
        <w:t>B．①③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③热电公司理应担责，王某某的权益损害与该热电公司间存在直接因果关系</w:t>
      </w:r>
      <w:r>
        <w:rPr>
          <w:rFonts w:hint="eastAsia" w:ascii="宋体" w:hAnsi="宋体" w:cs="宋体"/>
          <w:lang w:val="en-US" w:eastAsia="zh-CN"/>
        </w:rPr>
        <w:t xml:space="preserve">   </w:t>
      </w:r>
      <w:r>
        <w:rPr>
          <w:rFonts w:hint="eastAsia" w:ascii="宋体" w:hAnsi="宋体" w:eastAsia="宋体" w:cs="宋体"/>
        </w:rPr>
        <w:t>C．②④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④热电公司为侵权人，救助成功与否应当影响王某某损害赔偿请求权的行使</w:t>
      </w:r>
      <w:r>
        <w:rPr>
          <w:rFonts w:hint="eastAsia" w:ascii="宋体" w:hAnsi="宋体" w:cs="宋体"/>
          <w:lang w:val="en-US" w:eastAsia="zh-CN"/>
        </w:rPr>
        <w:t xml:space="preserve">   </w:t>
      </w:r>
      <w:r>
        <w:rPr>
          <w:rFonts w:hint="eastAsia" w:ascii="宋体" w:hAnsi="宋体" w:eastAsia="宋体" w:cs="宋体"/>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3．“一种新的非白人、非西方的全球秩序正在形成，其基础是国际法、多边主义，而不是美元。”欧盟议员克莱尔·戴利说，“目前，欧洲面临的问题是，我们是想成为大西洋朋友的附庸，还是想与我们最大的贸易伙伴保持和平、独立的关系？这个伙伴40年来没有向任何人投过一颗炸弹。哪个最符合欧洲公民的利益，答案很明显。”依据该议员的观点，我们可以得到的启示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cs="宋体"/>
          <w:lang w:val="en-US" w:eastAsia="zh-CN"/>
        </w:rPr>
      </w:pPr>
      <w:r>
        <w:rPr>
          <w:rFonts w:hint="eastAsia" w:ascii="宋体" w:hAnsi="宋体" w:eastAsia="宋体" w:cs="宋体"/>
        </w:rPr>
        <w:t>①政治经济一体化是欧盟有效应对美国霸权的重要手段</w:t>
      </w:r>
      <w:r>
        <w:rPr>
          <w:rFonts w:hint="eastAsia" w:ascii="宋体" w:hAnsi="宋体" w:cs="宋体"/>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②美国主导的国际秩序严重损害了西方发达国家的权益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③欧盟与中国保持和平、独立的伙伴关系符合双方根本利益</w:t>
      </w:r>
      <w:r>
        <w:rPr>
          <w:rFonts w:hint="eastAsia" w:ascii="宋体" w:hAnsi="宋体" w:cs="宋体"/>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cs="宋体"/>
          <w:lang w:val="en-US" w:eastAsia="zh-CN"/>
        </w:rPr>
      </w:pPr>
      <w:r>
        <w:rPr>
          <w:rFonts w:hint="eastAsia" w:ascii="宋体" w:hAnsi="宋体" w:eastAsia="宋体" w:cs="宋体"/>
        </w:rPr>
        <w:t>④形成以国际法和多边主义为基础的国际秩序是世界发展大势</w:t>
      </w:r>
      <w:r>
        <w:rPr>
          <w:rFonts w:hint="eastAsia" w:ascii="宋体" w:hAnsi="宋体" w:cs="宋体"/>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B．①④</w:t>
      </w:r>
      <w:r>
        <w:rPr>
          <w:rFonts w:hint="eastAsia" w:ascii="宋体" w:hAnsi="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4．山东省政府印发的《中国（淄博）跨境电子商务综合试验区实施方案》明确，力争到2024年，建设20个以上公共海外仓。公共海外仓即由比较成熟的物流仓储服务商根据目的国（地区）法规建立的海外备货仓库或者中转集货仓，依托信息化系统管理，帮助外贸经营主体完成从国内集货、出口退税、国际运输和清关、海外仓储管理及目的国（地区）配送的全程跨境物流模式。对此，下列理解正确的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①完善产业链、提升价值链能增强山东外贸优势</w:t>
      </w:r>
      <w:r>
        <w:rPr>
          <w:rFonts w:hint="eastAsia" w:ascii="宋体" w:hAnsi="宋体" w:cs="宋体"/>
          <w:lang w:val="en-US" w:eastAsia="zh-CN"/>
        </w:rPr>
        <w:t xml:space="preserve"> </w:t>
      </w:r>
      <w:r>
        <w:rPr>
          <w:rFonts w:hint="eastAsia" w:ascii="宋体" w:hAnsi="宋体" w:eastAsia="宋体" w:cs="宋体"/>
        </w:rPr>
        <w:t>②建设公共海外仓有利于提高山东电子商务水平A．①②B．①④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③公共海外仓可以通过专业化提高对外贸易效率</w:t>
      </w:r>
      <w:r>
        <w:rPr>
          <w:rFonts w:hint="eastAsia" w:ascii="宋体" w:hAnsi="宋体" w:cs="宋体"/>
          <w:lang w:val="en-US" w:eastAsia="zh-CN"/>
        </w:rPr>
        <w:t xml:space="preserve"> </w:t>
      </w:r>
      <w:r>
        <w:rPr>
          <w:rFonts w:hint="eastAsia" w:ascii="宋体" w:hAnsi="宋体" w:eastAsia="宋体" w:cs="宋体"/>
        </w:rPr>
        <w:t>④完善全球经济治理体系可以推动山东贸易发展C．②③D．③④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5．2023年中央经济工作会议指出：要着力扩大内需，着力恢复和扩大消费，着力增加优质商品和服务供给，继续扩大优质消费品进口，大力倡导并积极推动绿色低碳消费，进一步发挥消费对经济发展的基础性作用。下列消费措施对促进经济发展的传导过程正确的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①推动绿色低碳消费→绿色产品需求增加→绿色产业前景看好→扩大绿色产业投资</w:t>
      </w:r>
      <w:r>
        <w:rPr>
          <w:rFonts w:hint="eastAsia" w:ascii="宋体" w:hAnsi="宋体" w:cs="宋体"/>
          <w:lang w:val="en-US" w:eastAsia="zh-CN"/>
        </w:rPr>
        <w:t xml:space="preserve">      </w:t>
      </w:r>
      <w:r>
        <w:rPr>
          <w:rFonts w:hint="eastAsia" w:ascii="宋体" w:hAnsi="宋体" w:eastAsia="宋体" w:cs="宋体"/>
        </w:rPr>
        <w:t>A．①③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②推动绿色低碳消费→转变消费观念→推动绿色产业发展→提高相关企业的竞争力</w:t>
      </w:r>
      <w:r>
        <w:rPr>
          <w:rFonts w:hint="eastAsia" w:ascii="宋体" w:hAnsi="宋体" w:cs="宋体"/>
          <w:lang w:val="en-US" w:eastAsia="zh-CN"/>
        </w:rPr>
        <w:t xml:space="preserve">      </w:t>
      </w:r>
      <w:r>
        <w:rPr>
          <w:rFonts w:hint="eastAsia" w:ascii="宋体" w:hAnsi="宋体" w:eastAsia="宋体" w:cs="宋体"/>
        </w:rPr>
        <w:t>B．①④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③扩大优质消费品进口→增加市场供给→提高消费成本→促进消费结构优化升级</w:t>
      </w:r>
      <w:r>
        <w:rPr>
          <w:rFonts w:hint="eastAsia" w:ascii="宋体" w:hAnsi="宋体" w:cs="宋体"/>
          <w:lang w:val="en-US" w:eastAsia="zh-CN"/>
        </w:rPr>
        <w:t xml:space="preserve">        </w:t>
      </w:r>
      <w:r>
        <w:rPr>
          <w:rFonts w:hint="eastAsia" w:ascii="宋体" w:hAnsi="宋体" w:eastAsia="宋体" w:cs="宋体"/>
        </w:rPr>
        <w:t>C．②③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④扩大优质消费品进口→深化供给侧改革→推动产业结构转型升级→培育发展新动能</w:t>
      </w:r>
      <w:r>
        <w:rPr>
          <w:rFonts w:hint="eastAsia" w:ascii="宋体" w:hAnsi="宋体" w:cs="宋体"/>
          <w:lang w:val="en-US" w:eastAsia="zh-CN"/>
        </w:rPr>
        <w:t xml:space="preserve">    </w:t>
      </w:r>
      <w:r>
        <w:rPr>
          <w:rFonts w:hint="eastAsia" w:ascii="宋体" w:hAnsi="宋体" w:eastAsia="宋体" w:cs="宋体"/>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6．“领导留言板”是人民日报社专门为中央部委和地方各级党委政府主要负责同志搭建的网上群众工作平台。2023年7月，共收到群众有效留言6.6万件，各级领导干部已回复留言3.2万件。开设该平台（</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A．回应群众全部诉求，增强人民获得感</w:t>
      </w:r>
      <w:r>
        <w:rPr>
          <w:rFonts w:hint="eastAsia" w:ascii="宋体" w:hAnsi="宋体" w:cs="宋体"/>
          <w:lang w:val="en-US" w:eastAsia="zh-CN"/>
        </w:rPr>
        <w:t xml:space="preserve">     </w:t>
      </w:r>
      <w:r>
        <w:rPr>
          <w:rFonts w:hint="eastAsia" w:ascii="宋体" w:hAnsi="宋体" w:eastAsia="宋体" w:cs="宋体"/>
        </w:rPr>
        <w:t>B．保障国家机关高效协调运转</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C．是我国全过程人民民主的成功实践范例</w:t>
      </w:r>
      <w:r>
        <w:rPr>
          <w:rFonts w:hint="eastAsia" w:ascii="宋体" w:hAnsi="宋体" w:cs="宋体"/>
          <w:lang w:val="en-US" w:eastAsia="zh-CN"/>
        </w:rPr>
        <w:t xml:space="preserve">   </w:t>
      </w:r>
      <w:r>
        <w:rPr>
          <w:rFonts w:hint="eastAsia" w:ascii="宋体" w:hAnsi="宋体" w:eastAsia="宋体" w:cs="宋体"/>
        </w:rPr>
        <w:t>D．加快推进我国国家治理的法治化的进程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7．某市政协在当地官方微信公众号上开设“假如我是政协委员”栏目，号召市民来当“虚拟委员”，提交“虚拟提案”，“虚拟委员”王某提出的“代课幼师考编难问题”成为了政协提案，有关部门及时予以处理。这表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A．“虚拟委员”通过履行参政议政职能，回应民生热点</w:t>
      </w:r>
      <w:r>
        <w:rPr>
          <w:rFonts w:hint="eastAsia" w:ascii="宋体" w:hAnsi="宋体" w:cs="宋体"/>
          <w:lang w:val="en-US" w:eastAsia="zh-CN"/>
        </w:rPr>
        <w:t xml:space="preserve">  </w:t>
      </w:r>
      <w:r>
        <w:rPr>
          <w:rFonts w:hint="eastAsia" w:ascii="宋体" w:hAnsi="宋体" w:eastAsia="宋体" w:cs="宋体"/>
        </w:rPr>
        <w:t>B．“虚拟委员”在民情和议政之间发挥桥梁纽带作用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C．夯实了国家治理的民意基础，确保了人民政协的性质</w:t>
      </w:r>
      <w:r>
        <w:rPr>
          <w:rFonts w:hint="eastAsia" w:ascii="宋体" w:hAnsi="宋体" w:cs="宋体"/>
          <w:lang w:val="en-US" w:eastAsia="zh-CN"/>
        </w:rPr>
        <w:t xml:space="preserve"> </w:t>
      </w:r>
      <w:r>
        <w:rPr>
          <w:rFonts w:hint="eastAsia" w:ascii="宋体" w:hAnsi="宋体" w:eastAsia="宋体" w:cs="宋体"/>
        </w:rPr>
        <w:t>D．通过广泛听取意见，推动政协决策的科学化、民主化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8．2023年8月15日，中国人民银行发布公告，为对冲税期高峰等因素的影响，维护银行体系流动性合理充裕，当日开展2040亿元公开市场逆回购操作，以充分满足金融机构需求。此次公开市场逆回购操作中标利率下降10个基点，由此前的1.9%下降至1.80%。央行的这一操作（</w:t>
      </w:r>
      <w:r>
        <w:rPr>
          <w:rFonts w:hint="eastAsia" w:ascii="宋体" w:hAnsi="宋体" w:eastAsia="宋体" w:cs="宋体"/>
          <w:kern w:val="0"/>
          <w:sz w:val="24"/>
          <w:szCs w:val="24"/>
        </w:rPr>
        <w:t> </w:t>
      </w:r>
      <w:r>
        <w:rPr>
          <w:rFonts w:hint="eastAsia" w:ascii="宋体" w:hAnsi="宋体" w:eastAsia="宋体" w:cs="宋体"/>
        </w:rPr>
        <w:t>）</w:t>
      </w:r>
      <w:r>
        <w:rPr>
          <w:rFonts w:hint="eastAsia" w:ascii="宋体" w:hAnsi="宋体" w:cs="宋体"/>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①旨在紧缩市场货币资金流动性，稳定经济增长</w:t>
      </w:r>
      <w:r>
        <w:rPr>
          <w:rFonts w:hint="eastAsia" w:ascii="宋体" w:hAnsi="宋体" w:cs="宋体"/>
          <w:lang w:val="en-US" w:eastAsia="zh-CN"/>
        </w:rPr>
        <w:t xml:space="preserve">   </w:t>
      </w:r>
      <w:r>
        <w:rPr>
          <w:rFonts w:hint="eastAsia" w:ascii="宋体" w:hAnsi="宋体" w:eastAsia="宋体" w:cs="宋体"/>
        </w:rPr>
        <w:t>②促使金融企业降低存贷款利率，助力经济回暖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③利于保持流动性合理充裕，提振金融市场信心</w:t>
      </w:r>
      <w:r>
        <w:rPr>
          <w:rFonts w:hint="eastAsia" w:ascii="宋体" w:hAnsi="宋体" w:cs="宋体"/>
          <w:lang w:val="en-US" w:eastAsia="zh-CN"/>
        </w:rPr>
        <w:t xml:space="preserve">   </w:t>
      </w:r>
      <w:r>
        <w:rPr>
          <w:rFonts w:hint="eastAsia" w:ascii="宋体" w:hAnsi="宋体" w:eastAsia="宋体" w:cs="宋体"/>
        </w:rPr>
        <w:t>④是通过实施稳健的货币政策，刺激投资和消费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9．2023年8月16日，国务院公布的《社会保险经办条例》规定，社保经办机构应当通过信息比对、自助认证等方式核验参保人员社保待遇享受资格，通过“数据多跑路”让“群众少跑腿”。压减不必要的证明材料，取消没有法律法规和国务院决定依据的证明材料；对于老年人、残疾人等特殊群体通过授权代办、上门服务等方式提供便利服务。这一规定有利于（</w:t>
      </w:r>
      <w:r>
        <w:rPr>
          <w:rFonts w:hint="eastAsia" w:ascii="宋体" w:hAnsi="宋体" w:eastAsia="宋体" w:cs="宋体"/>
          <w:kern w:val="0"/>
          <w:sz w:val="24"/>
          <w:szCs w:val="24"/>
        </w:rPr>
        <w:t>  </w:t>
      </w:r>
      <w:r>
        <w:rPr>
          <w:rFonts w:hint="eastAsia" w:ascii="宋体" w:hAnsi="宋体" w:eastAsia="宋体" w:cs="宋体"/>
        </w:rPr>
        <w:t>）</w:t>
      </w:r>
      <w:r>
        <w:rPr>
          <w:rFonts w:hint="eastAsia" w:ascii="宋体" w:hAnsi="宋体" w:cs="宋体"/>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①满足被保险人的较高层次的保险需求</w:t>
      </w:r>
      <w:r>
        <w:rPr>
          <w:rFonts w:hint="eastAsia" w:ascii="宋体" w:hAnsi="宋体" w:cs="宋体"/>
          <w:lang w:val="en-US" w:eastAsia="zh-CN"/>
        </w:rPr>
        <w:t xml:space="preserve">          </w:t>
      </w:r>
      <w:r>
        <w:rPr>
          <w:rFonts w:hint="eastAsia" w:ascii="宋体" w:hAnsi="宋体" w:eastAsia="宋体" w:cs="宋体"/>
        </w:rPr>
        <w:t>②做到权责清晰，明确各方的权利与责任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③简化社保经办流程，推动“便捷办”“高效办”</w:t>
      </w:r>
      <w:r>
        <w:rPr>
          <w:rFonts w:hint="eastAsia" w:ascii="宋体" w:hAnsi="宋体" w:cs="宋体"/>
          <w:lang w:val="en-US" w:eastAsia="zh-CN"/>
        </w:rPr>
        <w:t xml:space="preserve"> </w:t>
      </w:r>
      <w:r>
        <w:rPr>
          <w:rFonts w:hint="eastAsia" w:ascii="宋体" w:hAnsi="宋体" w:eastAsia="宋体" w:cs="宋体"/>
        </w:rPr>
        <w:t>④更好地维护好弱势群体的利益，促进社会和谐发展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10．2023年7月16日，全球容量最大超重力离心模拟与实验装置的实验大楼正式结项。它可以在实验室里模拟“一眼万年”或“一步千里”的时空压缩，为一系列基础科研提供验证条件，意味着我国在相关领域的研究将实现从跟跑、并跑到领跑的跨越。这体现了（</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①探索世界本质与规律的科学实验意义重大</w:t>
      </w:r>
      <w:r>
        <w:rPr>
          <w:rFonts w:hint="eastAsia" w:ascii="宋体" w:hAnsi="宋体" w:cs="宋体"/>
          <w:lang w:val="en-US" w:eastAsia="zh-CN"/>
        </w:rPr>
        <w:t xml:space="preserve">   </w:t>
      </w:r>
      <w:r>
        <w:rPr>
          <w:rFonts w:hint="eastAsia" w:ascii="宋体" w:hAnsi="宋体" w:eastAsia="宋体" w:cs="宋体"/>
        </w:rPr>
        <w:t>②人类的科学实践活动具有社会历史性特点</w:t>
      </w:r>
      <w:r>
        <w:rPr>
          <w:rFonts w:hint="eastAsia" w:ascii="宋体" w:hAnsi="宋体" w:cs="宋体"/>
          <w:lang w:val="en-US" w:eastAsia="zh-CN"/>
        </w:rPr>
        <w:t xml:space="preserve">   </w:t>
      </w: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③追求真理要经历从认识到实践的多次反复</w:t>
      </w:r>
      <w:r>
        <w:rPr>
          <w:rFonts w:hint="eastAsia" w:ascii="宋体" w:hAnsi="宋体" w:cs="宋体"/>
          <w:lang w:val="en-US" w:eastAsia="zh-CN"/>
        </w:rPr>
        <w:t xml:space="preserve">   </w:t>
      </w:r>
      <w:r>
        <w:rPr>
          <w:rFonts w:hint="eastAsia" w:ascii="宋体" w:hAnsi="宋体" w:eastAsia="宋体" w:cs="宋体"/>
        </w:rPr>
        <w:t>④辩证否定是我国基础科研跨越发展的前提</w:t>
      </w:r>
      <w:r>
        <w:rPr>
          <w:rFonts w:hint="eastAsia" w:ascii="宋体" w:hAnsi="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hint="eastAsia" w:ascii="楷体" w:hAnsi="楷体" w:eastAsia="楷体" w:cs="楷体"/>
        </w:rPr>
        <w:t>11．当前正是橙子大量上市的时间。2023年10月9日，甲果园与乙超市签订橙子买卖合同，合同金额20万元，交货时间为2023年11月9日，任何一方违约，违约方须向对方支付违约金3万元。合同签订后，乙超市如约向甲果园支付了定金2.5万元。后因</w:t>
      </w:r>
      <w:r>
        <w:rPr>
          <w:rFonts w:ascii="楷体" w:hAnsi="楷体" w:eastAsia="楷体" w:cs="楷体"/>
        </w:rPr>
        <w:t>双十一临近，橙子需求量增大，价格上涨。2023年10月29日，甲果园致电超市要求提价，乙超市不同意，甲果园遂要求解除合同，遭到乙超市拒绝。合同期满后，甲果园未履行合同义务。乙超市遂单方面向其所在地A市仲裁委员会申请仲裁，要求甲果园承担违约金并双倍返还已付定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eastAsia="宋体"/>
          <w:lang w:eastAsia="zh-CN"/>
        </w:rPr>
      </w:pPr>
      <w:r>
        <w:t>结合材料，运用《法律与生活》知识分析，乙超市维权的不妥之处，并分析乙超市如何选择最佳维权诉求。</w:t>
      </w:r>
      <w:r>
        <w:rPr>
          <w:rFonts w:hint="eastAsia"/>
          <w:lang w:eastAsia="zh-CN"/>
        </w:rPr>
        <w:t>（</w:t>
      </w:r>
      <w:r>
        <w:rPr>
          <w:rFonts w:hint="eastAsia"/>
          <w:lang w:val="en-US" w:eastAsia="zh-CN"/>
        </w:rPr>
        <w:t>9</w:t>
      </w:r>
      <w:r>
        <w:rPr>
          <w:rFonts w:hint="eastAsia"/>
          <w:lang w:eastAsia="zh-CN"/>
        </w:rPr>
        <w:t>分）</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360"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p>
    <w:sectPr>
      <w:footerReference r:id="rId3" w:type="default"/>
      <w:footerReference r:id="rId4" w:type="even"/>
      <w:pgSz w:w="11907" w:h="16839"/>
      <w:pgMar w:top="720" w:right="720" w:bottom="720" w:left="720" w:header="283" w:footer="283"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lang w:eastAsia="zh-CN"/>
      </w:rPr>
      <w:t>练习</w:t>
    </w: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NzEzNjI5ZGNmOTNiMzM4MDFlODdkZGJhZWExZ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E2D36D6"/>
    <w:rsid w:val="27FE0FEF"/>
    <w:rsid w:val="296E31C7"/>
    <w:rsid w:val="44811D61"/>
    <w:rsid w:val="4F27717E"/>
    <w:rsid w:val="6728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table" w:customStyle="1" w:styleId="8">
    <w:name w:val="网格型1"/>
    <w:unhideWhenUsed/>
    <w:qFormat/>
    <w:uiPriority w:val="99"/>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cp:lastPrinted>2023-12-15T08:18:54Z</cp:lastPrinted>
  <dcterms:modified xsi:type="dcterms:W3CDTF">2023-12-15T08:19:15Z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a59ea5e1bca34c65845da5cd66d71a67mjixotk3mtc0ma</vt:lpwstr>
  </property>
  <property fmtid="{D5CDD505-2E9C-101B-9397-08002B2CF9AE}" pid="4" name="KSOProductBuildVer">
    <vt:lpwstr>2052-12.1.0.15374</vt:lpwstr>
  </property>
  <property fmtid="{D5CDD505-2E9C-101B-9397-08002B2CF9AE}" pid="5" name="ICV">
    <vt:lpwstr>85DB6FA9CC8F413293332E5ADF6ACE28_12</vt:lpwstr>
  </property>
</Properties>
</file>