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420"/>
        <w:jc w:val="center"/>
        <w:textAlignment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rPr>
        <w:t>江苏省仪征中学2</w:t>
      </w:r>
      <w:r>
        <w:rPr>
          <w:rFonts w:ascii="Times New Roman" w:hAnsi="Times New Roman" w:eastAsia="宋体" w:cs="Times New Roman"/>
          <w:b/>
          <w:bCs/>
          <w:sz w:val="28"/>
          <w:szCs w:val="28"/>
        </w:rPr>
        <w:t>021</w:t>
      </w:r>
      <w:r>
        <w:rPr>
          <w:rFonts w:hint="eastAsia" w:ascii="Times New Roman" w:hAnsi="Times New Roman" w:eastAsia="宋体" w:cs="Times New Roman"/>
          <w:b/>
          <w:bCs/>
          <w:sz w:val="28"/>
          <w:szCs w:val="28"/>
        </w:rPr>
        <w:t>届高三</w:t>
      </w:r>
      <w:r>
        <w:rPr>
          <w:rFonts w:hint="eastAsia" w:cs="Times New Roman"/>
          <w:b/>
          <w:bCs/>
          <w:sz w:val="28"/>
          <w:szCs w:val="28"/>
          <w:lang w:eastAsia="zh-CN"/>
        </w:rPr>
        <w:t>第一学期期中主观题</w:t>
      </w:r>
      <w:r>
        <w:rPr>
          <w:rFonts w:hint="eastAsia" w:ascii="Times New Roman" w:hAnsi="Times New Roman" w:eastAsia="宋体" w:cs="Times New Roman"/>
          <w:b/>
          <w:bCs/>
          <w:sz w:val="28"/>
          <w:szCs w:val="28"/>
        </w:rPr>
        <w:t>练</w:t>
      </w:r>
      <w:r>
        <w:rPr>
          <w:rFonts w:hint="eastAsia" w:cs="Times New Roman"/>
          <w:b/>
          <w:bCs/>
          <w:sz w:val="28"/>
          <w:szCs w:val="28"/>
          <w:lang w:eastAsia="zh-CN"/>
        </w:rPr>
        <w:t>习</w:t>
      </w:r>
    </w:p>
    <w:p>
      <w:pPr>
        <w:shd w:val="clear" w:color="auto" w:fill="FFFFFF"/>
        <w:ind w:firstLine="420"/>
        <w:jc w:val="center"/>
        <w:textAlignment w:val="center"/>
        <w:rPr>
          <w:rFonts w:ascii="Times New Roman" w:hAnsi="Times New Roman" w:eastAsia="宋体" w:cs="Times New Roman"/>
          <w:b/>
          <w:bCs/>
          <w:szCs w:val="21"/>
          <w:u w:val="single"/>
        </w:rPr>
      </w:pPr>
      <w:r>
        <w:rPr>
          <w:rFonts w:hint="eastAsia" w:ascii="Times New Roman" w:hAnsi="Times New Roman" w:eastAsia="宋体" w:cs="Times New Roman"/>
          <w:b/>
          <w:bCs/>
          <w:szCs w:val="21"/>
        </w:rPr>
        <w:t>班级</w:t>
      </w:r>
      <w:r>
        <w:rPr>
          <w:rFonts w:hint="eastAsia" w:ascii="Times New Roman" w:hAnsi="Times New Roman" w:eastAsia="宋体" w:cs="Times New Roman"/>
          <w:b/>
          <w:bCs/>
          <w:szCs w:val="21"/>
          <w:u w:val="single"/>
        </w:rPr>
        <w:t xml:space="preserve"> </w:t>
      </w:r>
      <w:r>
        <w:rPr>
          <w:rFonts w:ascii="Times New Roman" w:hAnsi="Times New Roman" w:eastAsia="宋体" w:cs="Times New Roman"/>
          <w:b/>
          <w:bCs/>
          <w:szCs w:val="21"/>
          <w:u w:val="single"/>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姓名</w:t>
      </w:r>
      <w:r>
        <w:rPr>
          <w:rFonts w:hint="eastAsia" w:ascii="Times New Roman" w:hAnsi="Times New Roman" w:eastAsia="宋体" w:cs="Times New Roman"/>
          <w:b/>
          <w:bCs/>
          <w:szCs w:val="21"/>
          <w:u w:val="single"/>
        </w:rPr>
        <w:t xml:space="preserve"> </w:t>
      </w:r>
      <w:r>
        <w:rPr>
          <w:rFonts w:ascii="Times New Roman" w:hAnsi="Times New Roman" w:eastAsia="宋体" w:cs="Times New Roman"/>
          <w:b/>
          <w:bCs/>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w:t>
      </w:r>
      <w:r>
        <w:rPr>
          <w:rFonts w:hint="eastAsia" w:ascii="楷体" w:hAnsi="楷体" w:eastAsia="楷体" w:cs="楷体"/>
          <w:lang w:eastAsia="zh-CN"/>
        </w:rPr>
        <w:t>材料一</w:t>
      </w:r>
      <w:r>
        <w:rPr>
          <w:rFonts w:hint="eastAsia" w:ascii="楷体" w:hAnsi="楷体" w:eastAsia="楷体" w:cs="楷体"/>
          <w:lang w:val="en-US" w:eastAsia="zh-CN"/>
        </w:rPr>
        <w:t xml:space="preserve">  </w:t>
      </w:r>
      <w:r>
        <w:rPr>
          <w:rFonts w:hint="eastAsia" w:ascii="楷体" w:hAnsi="楷体" w:eastAsia="楷体" w:cs="楷体"/>
        </w:rPr>
        <w:t>2023年3月，中央中央办公厅印发了《关于在全党大兴调查研究的工作方案》。纵观党百年调查研究历程。中国共产党的调查研究始终以马克思主义基本原理为指导。从中国实际出发，洞察时代大势。在革命、建设、改革中，中国共产党人坚持调查研究，把握历史主动，进行艰辛探索，从一个胜利走向另一个胜利。步入新时代，在全党大兴调查研究。是应对新时代新征程前进路上的风浪考验、推进中国式现代化的有力举措，是时刻保持解决大党独有难题的清醒和坚定的现实需要。</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ascii="楷体" w:hAnsi="楷体" w:eastAsia="楷体" w:cs="楷体"/>
        </w:rPr>
      </w:pPr>
      <w:r>
        <w:rPr>
          <w:rFonts w:ascii="楷体" w:hAnsi="楷体" w:eastAsia="楷体" w:cs="楷体"/>
        </w:rPr>
        <w:t>《方案》规定。在全党大兴调查研究，要紧紧围绕党的理论和路线方针政策、党中央重大决策部署的贯彻执行。开展调研要深入基层单位，发挥基层党组织、党员干部的作用，掌握实情、把脉问诊，问计于群众、问计于实践。要转换角色、走进群众，了解群众的烦心事操心事揪心事。要正作风严纪律，力戒形式主义、官僚主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(1)结合材料</w:t>
      </w:r>
      <w:r>
        <w:rPr>
          <w:rFonts w:hint="eastAsia" w:ascii="宋体" w:hAnsi="宋体" w:cs="宋体"/>
          <w:lang w:eastAsia="zh-CN"/>
        </w:rPr>
        <w:t>一</w:t>
      </w:r>
      <w:r>
        <w:rPr>
          <w:rFonts w:hint="eastAsia" w:ascii="宋体" w:hAnsi="宋体" w:eastAsia="宋体" w:cs="宋体"/>
        </w:rPr>
        <w:t>，运用《中国特色社会主义》知识，说明为什么要在全党开展大兴调查研究之风。</w:t>
      </w:r>
      <w:r>
        <w:rPr>
          <w:rFonts w:hint="eastAsia" w:ascii="宋体" w:hAnsi="宋体" w:cs="宋体"/>
          <w:lang w:eastAsia="zh-CN"/>
        </w:rPr>
        <w:t>（</w:t>
      </w:r>
      <w:r>
        <w:rPr>
          <w:rFonts w:hint="eastAsia" w:ascii="宋体" w:hAnsi="宋体" w:cs="宋体"/>
          <w:lang w:val="en-US" w:eastAsia="zh-CN"/>
        </w:rPr>
        <w:t>6分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lang w:eastAsia="zh-CN"/>
        </w:rPr>
      </w:pPr>
      <w:r>
        <w:rPr>
          <w:rFonts w:hint="eastAsia" w:ascii="宋体" w:hAnsi="宋体" w:eastAsia="宋体" w:cs="宋体"/>
        </w:rPr>
        <w:t>(2)结合材料</w:t>
      </w:r>
      <w:r>
        <w:rPr>
          <w:rFonts w:hint="eastAsia" w:ascii="宋体" w:hAnsi="宋体" w:cs="宋体"/>
          <w:lang w:eastAsia="zh-CN"/>
        </w:rPr>
        <w:t>一</w:t>
      </w:r>
      <w:r>
        <w:rPr>
          <w:rFonts w:hint="eastAsia" w:ascii="宋体" w:hAnsi="宋体" w:eastAsia="宋体" w:cs="宋体"/>
        </w:rPr>
        <w:t>，运用《政治与法治》知识，谈谈中国共产党应如何做好调查研究？</w:t>
      </w:r>
      <w:r>
        <w:rPr>
          <w:rFonts w:hint="eastAsia" w:ascii="宋体" w:hAnsi="宋体" w:cs="宋体"/>
          <w:lang w:eastAsia="zh-CN"/>
        </w:rPr>
        <w:t>（</w:t>
      </w:r>
      <w:r>
        <w:rPr>
          <w:rFonts w:hint="eastAsia" w:ascii="宋体" w:hAnsi="宋体" w:cs="宋体"/>
          <w:lang w:val="en-US" w:eastAsia="zh-CN"/>
        </w:rPr>
        <w:t>8分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eastAsia" w:ascii="楷体" w:hAnsi="楷体" w:eastAsia="楷体" w:cs="楷体"/>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rPr>
          <w:rFonts w:hint="default" w:ascii="楷体" w:hAnsi="楷体" w:eastAsia="楷体" w:cs="楷体"/>
          <w:lang w:val="en-US" w:eastAsia="zh-CN"/>
        </w:rPr>
      </w:pPr>
      <w:r>
        <w:rPr>
          <w:rFonts w:hint="eastAsia" w:ascii="楷体" w:hAnsi="楷体" w:eastAsia="楷体" w:cs="楷体"/>
          <w:lang w:eastAsia="zh-CN"/>
        </w:rPr>
        <w:t>材料二</w:t>
      </w:r>
      <w:r>
        <w:rPr>
          <w:rFonts w:hint="eastAsia" w:ascii="楷体" w:hAnsi="楷体" w:eastAsia="楷体" w:cs="楷体"/>
          <w:lang w:val="en-US" w:eastAsia="zh-CN"/>
        </w:rPr>
        <w:t xml:space="preserve">  </w:t>
      </w:r>
      <w:r>
        <w:rPr>
          <w:rFonts w:hint="eastAsia" w:ascii="楷体" w:hAnsi="楷体" w:eastAsia="楷体" w:cs="楷体"/>
        </w:rPr>
        <w:t>没有调查就没有发言权，调查研究是谋事之基、成事之道。</w:t>
      </w:r>
      <w:r>
        <w:rPr>
          <w:rFonts w:hint="eastAsia" w:ascii="楷体" w:hAnsi="楷体" w:eastAsia="楷体" w:cs="楷体"/>
          <w:lang w:val="en-US" w:eastAsia="zh-CN"/>
        </w:rPr>
        <w:t>2023</w:t>
      </w:r>
      <w:r>
        <w:rPr>
          <w:rFonts w:hint="eastAsia" w:ascii="楷体" w:hAnsi="楷体" w:eastAsia="楷体" w:cs="楷体"/>
        </w:rPr>
        <w:t>年以来，各地各部门深入贯彻落实中央要求，持续在深化调查研究上务实功、出实招、求实效，有力推动调查研究解决问题。但少数地方和部门背离调研初衷，为调研而调研，简单应付，不注重调研实效。有的“甩手式调研”——匆忙赶场子，临走要材料，不把脉问诊，甚至将写报告等任务甩给被调研者；有的“偷懒式调研”——在问题选择上专捏“软柿子”，调研提纲千篇一律，问题毫无个性，调研结论大多聚焦在常识性问题上；有的“交卷式调研”——只求“交卷”完成任务，调研报告往往是堆砌情况、罗列数据，不能聚焦短板弱项。这些“应付式调研”，不是为了发现真问题、真解决问题，对推进实际工作成效不彰，亟待整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)结合材料</w:t>
      </w:r>
      <w:r>
        <w:rPr>
          <w:rFonts w:hint="eastAsia" w:ascii="宋体" w:hAnsi="宋体" w:cs="宋体"/>
          <w:lang w:eastAsia="zh-CN"/>
        </w:rPr>
        <w:t>二</w:t>
      </w:r>
      <w:r>
        <w:rPr>
          <w:rFonts w:hint="eastAsia" w:ascii="宋体" w:hAnsi="宋体" w:eastAsia="宋体" w:cs="宋体"/>
        </w:rPr>
        <w:t>，运用唯物辩证法的实质与核心的知识，说明怎样的调查研究才能更有实效。</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hint="eastAsia" w:ascii="楷体" w:hAnsi="楷体" w:eastAsia="楷体" w:cs="楷体"/>
          <w:lang w:val="en-US" w:eastAsia="zh-CN"/>
        </w:rPr>
        <w:t>2.</w:t>
      </w:r>
      <w:r>
        <w:rPr>
          <w:rFonts w:ascii="楷体" w:hAnsi="楷体" w:eastAsia="楷体" w:cs="楷体"/>
        </w:rPr>
        <w:t xml:space="preserve">“绿波带”是指在某一特定交通路线上，通过若干个连续路口交通信号灯之间的协调控制，确保当车辆以某一车速匀速行驶时，在每个路口都能正好遇到“绿灯”的现象。在“绿波带”行驶，有车友根据自己经验总结认为：“只要遇到绿灯就能一路畅行，但如果不巧碰上红灯，则只能一路受阻。”事实上，即使遇到绿灯，受制于车速等因素的影响，也会出现“绿波带”中持续稳定的车流受阻甚至被中断，车辆无法绿波通行。如果驾驶人在起点遇到的是红灯，等待绿灯放行后及时将车速调整到建议时速，也会享受到绿波带来的便利。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pPr>
      <w:r>
        <w:rPr>
          <w:rFonts w:ascii="楷体" w:hAnsi="楷体" w:eastAsia="楷体" w:cs="楷体"/>
        </w:rPr>
        <w:t>当前，并非所有城市道路都适合绿波路段。对于城市主干道来说，一般路侧的延阻因素较少，且路口进口车道数量较多，车流量适中，不易超速也不容易产生拥堵，车流受到的影响因素较少，易形成持续稳定的车辆，设置“绿波带”效果较好。对于普通城市道路，则首先需要考虑其延阻因素的影响，再考虑是否设置“绿波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eastAsia" w:ascii="宋体" w:hAnsi="宋体" w:eastAsia="宋体" w:cs="宋体"/>
        </w:rPr>
        <w:t>结合材料，运用唯物辩证法知识，谈谈不同城市道路应如何合理设置“绿波带”。</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pPr>
      <w:r>
        <w:rPr>
          <w:rFonts w:hint="eastAsia" w:ascii="楷体" w:hAnsi="楷体" w:eastAsia="楷体" w:cs="楷体"/>
          <w:lang w:val="en-US" w:eastAsia="zh-CN"/>
        </w:rPr>
        <w:t>3.</w:t>
      </w:r>
      <w:r>
        <w:rPr>
          <w:rFonts w:ascii="楷体" w:hAnsi="楷体" w:eastAsia="楷体" w:cs="楷体"/>
        </w:rPr>
        <w:t>随着我国经济发展和科技进步，对外开放的大门也越开越大。政治上，我国也越来越积极参与全球治理体系建设，发出中国声音，提出中国方案日渐成为常态，中国在国际经济和政治舞台上的影响力越来越强。</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pPr>
      <w:r>
        <w:rPr>
          <w:rFonts w:ascii="楷体" w:hAnsi="楷体" w:eastAsia="楷体" w:cs="楷体"/>
        </w:rPr>
        <w:t>像其他国际合作倡议一样，“一带一路”在实践过程中也曾遭遇一些人的质疑和猜忌：“一带一路”是中国在制造“债务陷阱”？是中国版“马歇尔计划”？是中国“一家独大”？</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jc w:val="left"/>
        <w:textAlignment w:val="center"/>
      </w:pPr>
      <w:r>
        <w:rPr>
          <w:rFonts w:ascii="楷体" w:hAnsi="楷体" w:eastAsia="楷体" w:cs="楷体"/>
        </w:rPr>
        <w:t>在西方国家发展的过程中，西班牙、葡萄牙、荷兰、英国、美国等国家强大起来后纷纷扮演霸王或图谋扮演霸王的角色。据此，西方学者认为“国强必霸”是历史兴衰的规律，任何国家都不会例外，中国也不会例外。</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结合材料，运用《认识社会与价值选择》的相关知识分析这些质疑和猜忌。</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shd w:val="clear" w:color="auto" w:fill="FFFFFF"/>
        <w:spacing w:line="360" w:lineRule="auto"/>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hint="eastAsia" w:ascii="楷体" w:hAnsi="楷体" w:eastAsia="楷体" w:cs="楷体"/>
          <w:lang w:val="en-US" w:eastAsia="zh-CN"/>
        </w:rPr>
        <w:t>4.</w:t>
      </w:r>
      <w:r>
        <w:rPr>
          <w:rFonts w:ascii="楷体" w:hAnsi="楷体" w:eastAsia="楷体" w:cs="楷体"/>
        </w:rPr>
        <w:t>“这实实在在解决了我们的顾虑，终于可以放心‘拍黄瓜’了！”</w:t>
      </w:r>
      <w:r>
        <w:rPr>
          <w:rFonts w:hint="eastAsia" w:ascii="楷体" w:hAnsi="楷体" w:eastAsia="楷体" w:cs="楷体"/>
          <w:lang w:val="en-US" w:eastAsia="zh-CN"/>
        </w:rPr>
        <w:t>2023年</w:t>
      </w:r>
      <w:r>
        <w:rPr>
          <w:rFonts w:ascii="楷体" w:hAnsi="楷体" w:eastAsia="楷体" w:cs="楷体"/>
        </w:rPr>
        <w:t>7月12日，新修订的《食品经营许可和备案管理办法》（以下简称《办法》）对“拍黄瓜”、泡茶等简单食品制售简化许可。”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ascii="楷体" w:hAnsi="楷体" w:eastAsia="楷体" w:cs="楷体"/>
        </w:rPr>
        <w:t>原:餐饮经营者销售“拍黄瓜”需要获得专门的冷食类许可。而办理许可，需要拥有不小于5平方米的独立空间，具备二次更衣的消毒设施、空气消毒设备和独立的空调等设施。</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ascii="楷体" w:hAnsi="楷体" w:eastAsia="楷体" w:cs="楷体"/>
        </w:rPr>
        <w:t>新:像“拍黄瓜”等简单食品制售行为，即做即售，无需专间，在洁净的专用操作区内进行操作也能保障食品安全，因此，可以对冷食类食品制售分级分类管理，降低办证门槛。</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ascii="楷体" w:hAnsi="楷体" w:eastAsia="楷体" w:cs="楷体"/>
        </w:rPr>
      </w:pPr>
      <w:r>
        <w:rPr>
          <w:rFonts w:ascii="楷体" w:hAnsi="楷体" w:eastAsia="楷体" w:cs="楷体"/>
        </w:rPr>
        <w:t>如何在保障“舌尖上的安全”与解决民生痛点难点之间寻求最大公约数？国家市场监督管理总局聚焦“拍黄瓜”等食品经营领域突出问题，深入一线调研，了解经营主体的状况诉求、把准基层监管难题和制度需求。最终，国家市场监督管理总局在修改完善《办法》的过程中，统筹考量食品安全卫生和小微餐饮经营者的实际情况，进一步优化了食品经营许可程序，尽可能“减证便民”。把“拍黄瓜”等简单食品制售行为与夫妻肺片、凉拌牛肉、冰淇淋蛋糕等更容易滋生细菌的高风险食品制售区分开来，分级分类推行精细化管理，通过完善政策制度从根本上解决民生难题，让小微餐饮经营者得以安心经营、放心经营。</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结合材料，运用《政治与法治》的知识，凝炼《办法》修改完善的治理之道。</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firstLineChars="200"/>
        <w:jc w:val="left"/>
        <w:textAlignment w:val="center"/>
        <w:rPr>
          <w:rFonts w:ascii="楷体" w:hAnsi="楷体" w:eastAsia="楷体" w:cs="楷体"/>
        </w:rPr>
      </w:pPr>
      <w:r>
        <w:rPr>
          <w:rFonts w:hint="eastAsia" w:ascii="楷体" w:hAnsi="楷体" w:eastAsia="楷体" w:cs="楷体"/>
          <w:lang w:val="en-US" w:eastAsia="zh-CN"/>
        </w:rPr>
        <w:t>5.</w:t>
      </w:r>
      <w:r>
        <w:rPr>
          <w:rFonts w:ascii="楷体" w:hAnsi="楷体" w:eastAsia="楷体" w:cs="楷体"/>
        </w:rPr>
        <w:t>上海市虹桥街道办事处基层立法联系点(以下简称“虹桥联系点”)是全国人大常委会法工委2015年在全国设立的首批基层立法联系点之一。2019年11月2日，习近平总书记在这里考察时，首次提出“人民民主是一种全过程的民主”的重要论述。党的十九届六中全会把“发展全过程人民民主"作为习近平新时代中国特色社会主义思想的重要内容纳入“十个明确"之中。为深入贯彻落实“全过程人民民主”重要论述，近年来，虹桥联系点积极探索立法意见征询新形式，形成了“民意广覆盖，流程全链条，信息全方位，联动聚合力，征询促法治，宣传接地气”的虹桥经验。创造了“虹桥六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35"/>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center"/>
              <w:textAlignment w:val="center"/>
              <w:rPr>
                <w:rFonts w:hint="eastAsia" w:ascii="楷体" w:hAnsi="楷体" w:eastAsia="楷体" w:cs="楷体"/>
                <w:lang w:val="en-US" w:eastAsia="zh-CN"/>
              </w:rPr>
            </w:pPr>
            <w:r>
              <w:rPr>
                <w:rFonts w:hint="eastAsia" w:ascii="楷体" w:hAnsi="楷体" w:eastAsia="楷体" w:cs="楷体"/>
                <w:lang w:val="en-US" w:eastAsia="zh-CN"/>
              </w:rPr>
              <w:t>方法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center"/>
              <w:textAlignment w:val="center"/>
              <w:rPr>
                <w:rFonts w:hint="eastAsia" w:ascii="楷体" w:hAnsi="楷体" w:eastAsia="楷体" w:cs="楷体"/>
                <w:lang w:val="en-US" w:eastAsia="zh-CN"/>
              </w:rPr>
            </w:pPr>
            <w:r>
              <w:rPr>
                <w:rFonts w:hint="eastAsia" w:ascii="楷体" w:hAnsi="楷体" w:eastAsia="楷体" w:cs="楷体"/>
                <w:lang w:val="en-US" w:eastAsia="zh-CN"/>
              </w:rPr>
              <w:t>事例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民意广覆盖，</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真心诚意采心声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在征询对反电信网络诈骗法草案的意见过程中，向社区居民、专家学者、辖区派出所民警、受害者等人群征询立法意见，让不同群体都感受到了法治和民主的温度。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流程全链条，</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精心谋划定方案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在工作程序上，按照立法前中后的顺序，确保公民能够参与到法律草案的立项、起草、调研、审议、评估、宣传、实施等全过程、各环节。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信息全方位，</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不拘一格开言路</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结合辖区实际情况，在居委会、合作单位等处设立信息采集点，协助收集基层人民群众对立法及相关工作的意见建议。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联动聚合力，</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延伸触角出实招</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统筹用好所在区域内的法律资源和社会资源，提高立法意见征询工作的针对性、广泛性和有效性。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征询促法治，</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一体推进求实效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以立法意见征询作为抓手，致力尊法、学法、守法、普法、用法一体化推进。如走近青少年，以立法意见征询推动学法。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宣传接地气，讲述民主好故事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0" w:firstLineChars="0"/>
              <w:jc w:val="left"/>
              <w:textAlignment w:val="center"/>
              <w:rPr>
                <w:rFonts w:hint="eastAsia" w:ascii="楷体" w:hAnsi="楷体" w:eastAsia="楷体" w:cs="楷体"/>
                <w:lang w:val="en-US" w:eastAsia="zh-CN"/>
              </w:rPr>
            </w:pPr>
            <w:r>
              <w:rPr>
                <w:rFonts w:hint="eastAsia" w:ascii="楷体" w:hAnsi="楷体" w:eastAsia="楷体" w:cs="楷体"/>
                <w:lang w:val="en-US" w:eastAsia="zh-CN"/>
              </w:rPr>
              <w:t>宣传展示中国之路、中国之治、中国之理的重要话题，是宣传展示全过程人民民主新的增长点和重要窗口。</w:t>
            </w:r>
          </w:p>
        </w:tc>
      </w:tr>
    </w:tbl>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eastAsia="zh-CN"/>
        </w:rPr>
      </w:pPr>
      <w:r>
        <w:rPr>
          <w:rFonts w:hint="eastAsia" w:ascii="宋体" w:hAnsi="宋体" w:eastAsia="宋体" w:cs="宋体"/>
        </w:rPr>
        <w:t>全过程人民民主，虹桥一直在实践。结合材料，运用政治与法治的知识阐明“虹桥联系点”是全过程人民民主的生动实践。</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hint="eastAsia" w:ascii="宋体" w:hAnsi="宋体" w:cs="楷体"/>
          <w:szCs w:val="21"/>
          <w:u w:val="singl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楷体" w:hAnsi="楷体" w:eastAsia="楷体" w:cs="楷体"/>
          <w:lang w:val="en-US" w:eastAsia="zh-CN"/>
        </w:rPr>
        <w:t xml:space="preserve">6.材料一 </w:t>
      </w:r>
      <w:r>
        <w:rPr>
          <w:rFonts w:ascii="楷体" w:hAnsi="楷体" w:eastAsia="楷体" w:cs="楷体"/>
        </w:rPr>
        <w:t>第19届杭州亚运会是党的二十大胜利召开之后我国举办的规模最大、水平最高的国际综合性体育赛事，万众瞩目。回望8年亚运筹办之路，各方共赴亚运之约，奏响了时代强音。</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习近平总书记亲切关怀、高度重视杭州亚运会筹办工作，多次作出重要指示，为做好筹办工作提供了根本遵循。在党中央、国务院坚强领导下，在国家体育总局、中国残联统筹指导和有关国家部委大力支持下，浙江省全力以赴推进各项筹备工作。</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◇浙江省人大常委会会同杭州市人大常委会，结合亚运筹办的重大议题、重要领域、重点工作，广泛征集代表和人民群众对办好亚运的意见建议，并认真做好代表和意见建议的研究处理工作。</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ascii="楷体" w:hAnsi="楷体" w:eastAsia="楷体" w:cs="楷体"/>
        </w:rPr>
      </w:pPr>
      <w:r>
        <w:rPr>
          <w:rFonts w:ascii="楷体" w:hAnsi="楷体" w:eastAsia="楷体" w:cs="楷体"/>
        </w:rPr>
        <w:t>◇充分发挥省市县三级政协联动监督优势作用，广聚“政”能量，唱响“协”奏曲。深入建言献策，广泛凝聚共识，为成功举办具有“中国特色、亚洲风采、精彩纷呈”的体育文化盛会贡献政协智慧和力量。</w:t>
      </w:r>
    </w:p>
    <w:p>
      <w:pPr>
        <w:shd w:val="clear" w:color="auto" w:fill="FFFFFF"/>
        <w:spacing w:line="360" w:lineRule="auto"/>
        <w:jc w:val="left"/>
        <w:textAlignment w:val="center"/>
        <w:rPr>
          <w:rFonts w:hint="eastAsia" w:ascii="宋体" w:hAnsi="宋体" w:cs="宋体"/>
          <w:lang w:eastAsia="zh-CN"/>
        </w:rPr>
      </w:pPr>
      <w:r>
        <w:rPr>
          <w:rFonts w:hint="eastAsia" w:ascii="宋体" w:hAnsi="宋体" w:eastAsia="宋体" w:cs="宋体"/>
        </w:rPr>
        <w:t>(</w:t>
      </w:r>
      <w:r>
        <w:rPr>
          <w:rFonts w:hint="eastAsia" w:ascii="宋体" w:hAnsi="宋体" w:cs="宋体"/>
          <w:lang w:val="en-US" w:eastAsia="zh-CN"/>
        </w:rPr>
        <w:t>1</w:t>
      </w:r>
      <w:r>
        <w:rPr>
          <w:rFonts w:hint="eastAsia" w:ascii="宋体" w:hAnsi="宋体" w:eastAsia="宋体" w:cs="宋体"/>
        </w:rPr>
        <w:t>)</w:t>
      </w:r>
      <w:r>
        <w:rPr>
          <w:rFonts w:hint="eastAsia" w:ascii="宋体" w:hAnsi="宋体" w:cs="宋体"/>
        </w:rPr>
        <w:t>回望亚运筹办之路，运用《政治与法治》的知识，</w:t>
      </w:r>
      <w:r>
        <w:rPr>
          <w:rFonts w:hint="eastAsia" w:ascii="宋体" w:hAnsi="宋体" w:cs="宋体"/>
          <w:lang w:eastAsia="zh-CN"/>
        </w:rPr>
        <w:t>结合材料一，</w:t>
      </w:r>
      <w:r>
        <w:rPr>
          <w:rFonts w:hint="eastAsia" w:ascii="宋体" w:hAnsi="宋体" w:cs="宋体"/>
        </w:rPr>
        <w:t>阐释中国特色社会主义制度的优势。</w:t>
      </w:r>
      <w:r>
        <w:rPr>
          <w:rFonts w:hint="eastAsia" w:ascii="宋体" w:hAnsi="宋体" w:cs="宋体"/>
          <w:lang w:eastAsia="zh-CN"/>
        </w:rPr>
        <w:t>（</w:t>
      </w:r>
      <w:r>
        <w:rPr>
          <w:rFonts w:hint="eastAsia" w:ascii="宋体" w:hAnsi="宋体" w:cs="宋体"/>
          <w:lang w:val="en-US" w:eastAsia="zh-CN"/>
        </w:rPr>
        <w:t>12分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hint="eastAsia" w:ascii="宋体" w:hAnsi="宋体" w:cs="楷体"/>
          <w:szCs w:val="21"/>
          <w:u w:val="single"/>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楷体" w:hAnsi="楷体" w:eastAsia="楷体" w:cs="楷体"/>
          <w:lang w:eastAsia="zh-CN"/>
        </w:rPr>
        <w:t>材料二</w:t>
      </w:r>
      <w:r>
        <w:rPr>
          <w:rFonts w:hint="eastAsia" w:ascii="楷体" w:hAnsi="楷体" w:eastAsia="楷体" w:cs="楷体"/>
          <w:lang w:val="en-US" w:eastAsia="zh-CN"/>
        </w:rPr>
        <w:t xml:space="preserve">  </w:t>
      </w:r>
      <w:r>
        <w:rPr>
          <w:rFonts w:ascii="楷体" w:hAnsi="楷体" w:eastAsia="楷体" w:cs="楷体"/>
        </w:rPr>
        <w:t>第19届亚运特色项目“热”出圈，受到各方欢迎。特色项目设置是古老与现代、传统与新潮、传承与创新的全新融合，有始于3500年前中亚地区的传统式摔跤运动，还有高配版“老鹰捉小鸡”，用脚踢的排球，“智慧的体操”……在杭州亚运会40个大项中，9个非奥大项各有特色，受到广泛关注。7个小项比赛不仅具有深厚的民众基础和浓郁的地域特色，更极大丰富了亚运会的竞技内容，为参赛运动员在杭州亚运会中实现自己的梦想提供支持，为亚洲各地区的不同文化在杭州交相辉映、感受奥林匹克精神提供平台。</w:t>
      </w:r>
    </w:p>
    <w:p>
      <w:pPr>
        <w:shd w:val="clear" w:color="auto" w:fill="FFFFFF"/>
        <w:spacing w:line="360" w:lineRule="auto"/>
        <w:jc w:val="left"/>
        <w:textAlignment w:val="center"/>
        <w:rPr>
          <w:rFonts w:hint="eastAsia" w:ascii="宋体" w:hAnsi="宋体" w:eastAsia="宋体" w:cs="宋体"/>
          <w:lang w:eastAsia="zh-CN"/>
        </w:rPr>
      </w:pPr>
      <w:r>
        <w:rPr>
          <w:rFonts w:hint="eastAsia" w:ascii="宋体" w:hAnsi="宋体" w:eastAsia="宋体" w:cs="宋体"/>
        </w:rPr>
        <w:t>(</w:t>
      </w:r>
      <w:r>
        <w:rPr>
          <w:rFonts w:hint="eastAsia" w:ascii="宋体" w:hAnsi="宋体" w:cs="宋体"/>
          <w:lang w:val="en-US" w:eastAsia="zh-CN"/>
        </w:rPr>
        <w:t>2</w:t>
      </w:r>
      <w:r>
        <w:rPr>
          <w:rFonts w:hint="eastAsia" w:ascii="宋体" w:hAnsi="宋体" w:eastAsia="宋体" w:cs="宋体"/>
        </w:rPr>
        <w:t>)</w:t>
      </w:r>
      <w:r>
        <w:rPr>
          <w:rFonts w:hint="eastAsia" w:ascii="宋体" w:hAnsi="宋体" w:cs="宋体"/>
        </w:rPr>
        <w:t>结合材料</w:t>
      </w:r>
      <w:r>
        <w:rPr>
          <w:rFonts w:hint="eastAsia" w:ascii="宋体" w:hAnsi="宋体" w:cs="宋体"/>
          <w:lang w:eastAsia="zh-CN"/>
        </w:rPr>
        <w:t>二</w:t>
      </w:r>
      <w:r>
        <w:rPr>
          <w:rFonts w:hint="eastAsia" w:ascii="宋体" w:hAnsi="宋体" w:cs="宋体"/>
        </w:rPr>
        <w:t>，运用文化传承与文化创新的有关知识，分析亚运特色项目“热”出圈的原因。</w:t>
      </w:r>
      <w:r>
        <w:rPr>
          <w:rFonts w:hint="eastAsia" w:ascii="宋体" w:hAnsi="宋体" w:cs="宋体"/>
          <w:lang w:eastAsia="zh-CN"/>
        </w:rPr>
        <w:t>（</w:t>
      </w:r>
      <w:r>
        <w:rPr>
          <w:rFonts w:hint="eastAsia" w:ascii="宋体" w:hAnsi="宋体" w:cs="宋体"/>
          <w:lang w:val="en-US" w:eastAsia="zh-CN"/>
        </w:rPr>
        <w:t>9</w:t>
      </w:r>
      <w:r>
        <w:rPr>
          <w:rFonts w:hint="eastAsia" w:ascii="宋体" w:hAnsi="宋体" w:cs="宋体"/>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bookmarkStart w:id="0" w:name="_GoBack"/>
      <w:bookmarkEnd w:id="0"/>
      <w:r>
        <w:rPr>
          <w:rFonts w:hint="eastAsia" w:ascii="楷体" w:hAnsi="楷体" w:eastAsia="楷体" w:cs="楷体"/>
          <w:lang w:val="en-US" w:eastAsia="zh-CN"/>
        </w:rPr>
        <w:t xml:space="preserve">材料三  </w:t>
      </w:r>
      <w:r>
        <w:rPr>
          <w:rFonts w:ascii="楷体" w:hAnsi="楷体" w:eastAsia="楷体" w:cs="楷体"/>
        </w:rPr>
        <w:t>亚运知识产权保护，“浙”里有新成效。</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亚运会知识产权的规范许可和使用，是展示亚运风采、展现城市形象的重要保障。截至目前，杭州亚运会已公告保护特殊标志27件、注册登记亚运会著作权55件、公告授权专利4件、注册登记的亚运会域名l件等。家喻户晓的“潮涌”“心心相融，@未来”“江南忆”等亚运会会徽、口号、吉祥物都在其中。</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浙江省积极开展亚运会知识产权全链条保护工作，从亚运知识产权创造、运用、保护、管理和服务体系等全力护航杭州亚运会。浙江省人大审议出台《浙江省知识产权保护和促进条例》，明确对亚运会等重大体育的主办方、承办方，提出应当遵守特殊标志保护有关规定，规范活动中的知识产权运用行为。浙江省市场监督管理局等七部门组建工作专班，开展集中办公开展实体化运作，构建起重点明确、部门协同的立体式保护体系：浙江省公安厅强化“剑锋”主题集中行动，严厉打击各类侵犯亚运知识产权犯罪行为：浙江省知识产权局部署开展“铁拳”“亮剑2023”综合执法行动、平安护航亚运百日攻坚行动，对亚运会“擦边球”“搭车式”营销“顽疾”进行针对性清理，拒绝“蹭热度”，实现侵权“零容忍”。</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此外，浙江省在亚运会开幕前通过宣传片、公示预警名单、平台发布公告、开展自律公约等多种形式，持续深化民众知识产权保护观念，防患于未然，使本届杭州亚运会成为根植知识产权文化的沃土。</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hint="eastAsia" w:ascii="宋体" w:hAnsi="宋体" w:eastAsia="宋体" w:cs="宋体"/>
          <w:lang w:eastAsia="zh-CN"/>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w:t>
      </w:r>
      <w:r>
        <w:rPr>
          <w:rFonts w:hint="eastAsia" w:ascii="宋体" w:hAnsi="宋体" w:cs="宋体"/>
        </w:rPr>
        <w:t>结合材料</w:t>
      </w:r>
      <w:r>
        <w:rPr>
          <w:rFonts w:hint="eastAsia" w:ascii="宋体" w:hAnsi="宋体" w:cs="宋体"/>
          <w:lang w:eastAsia="zh-CN"/>
        </w:rPr>
        <w:t>三</w:t>
      </w:r>
      <w:r>
        <w:rPr>
          <w:rFonts w:hint="eastAsia" w:ascii="宋体" w:hAnsi="宋体" w:cs="宋体"/>
        </w:rPr>
        <w:t>，运用“全面推进依法治国的基本要求”的相关知识，说明浙江省是如何让杭州亚运会成为根植知识产权文化的沃土的。</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hint="eastAsia" w:ascii="宋体" w:hAnsi="宋体" w:cs="宋体"/>
          <w:lang w:val="en-US" w:eastAsia="zh-CN"/>
        </w:rPr>
        <w:t>7.</w:t>
      </w:r>
      <w:r>
        <w:rPr>
          <w:rFonts w:ascii="楷体" w:hAnsi="楷体" w:eastAsia="楷体" w:cs="楷体"/>
        </w:rPr>
        <w:t>党中央、国务院始终高度重视民营经济发展。本世纪以来，党中央、国务院出台一系列重大文件，持续推动民营经济发展壮大。</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材料一</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61"/>
        <w:gridCol w:w="9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时间</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国家政策措施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2005年2月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《国务院关于鼓励支持和引导个体私营等非公有制经济发展的若干意见》出台，时称“非公经济36条”。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2010年5月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《国务院关于鼓励和引导民间投资健康发展的若干意见》内容共计36条，俗称"新36条"。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2019年12月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《中共中央国务院关于营造更好发展环境支持民营企业改革发展的意见》媒体将其解读为"民企新28条"。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center"/>
              <w:textAlignment w:val="center"/>
            </w:pPr>
            <w:r>
              <w:rPr>
                <w:rFonts w:ascii="楷体" w:hAnsi="楷体" w:eastAsia="楷体" w:cs="楷体"/>
              </w:rPr>
              <w:t>2023年7月</w:t>
            </w:r>
          </w:p>
        </w:tc>
        <w:tc>
          <w:tcPr>
            <w:tcW w:w="924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《中共中央国务院关于促进民营经济发展壮大的意见》提出了31条针对性强的举措。</w:t>
            </w:r>
          </w:p>
        </w:tc>
      </w:tr>
    </w:tbl>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长期以来，民营经济在我国经济中的比重持续提升，已经成为推进中国式现代化的生力军，高质量发展不可或缺的重要基础，民营经济在税收上，2012年至2021年，民企占比从48%提升至59.6%。在就业上，2012年至2022年，规上私营工业企业吸纳就业占比从32.1%提高至48.3%。在数量上，2012年至2022年，民企数量占比从79.4%增长到93.3%。在外贸上，民企从2019年起成为第一大外贸主体，2022年占比达50.9%。</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jc w:val="left"/>
        <w:textAlignment w:val="center"/>
        <w:rPr>
          <w:rFonts w:hint="eastAsia" w:ascii="宋体" w:hAnsi="宋体" w:eastAsia="宋体" w:cs="宋体"/>
          <w:lang w:eastAsia="zh-CN"/>
        </w:rPr>
      </w:pPr>
      <w:r>
        <w:rPr>
          <w:rFonts w:hint="eastAsia" w:ascii="宋体" w:hAnsi="宋体" w:cs="宋体"/>
        </w:rPr>
        <w:t>结合材料，运用经济与社会的知识，说明党中央、国务院出台一系列政策高度重视民营经济发展的动因。</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ascii="楷体" w:hAnsi="楷体" w:eastAsia="楷体" w:cs="楷体"/>
        </w:rPr>
      </w:pPr>
      <w:r>
        <w:rPr>
          <w:rFonts w:hint="eastAsia" w:ascii="楷体" w:hAnsi="楷体" w:eastAsia="楷体" w:cs="楷体"/>
          <w:lang w:val="en-US" w:eastAsia="zh-CN"/>
        </w:rPr>
        <w:t>8.</w:t>
      </w:r>
      <w:r>
        <w:rPr>
          <w:rFonts w:ascii="楷体" w:hAnsi="楷体" w:eastAsia="楷体" w:cs="楷体"/>
        </w:rPr>
        <w:t>在充分竞争的市场条件下，当商品信息足够透明之时，商品利润将无限趋近于零。随着互联网越发无孔不入，信息透明度越来越高，绝大多数人和商品都处在充分竞争中。于是，整个经济、社会进入恶性循环模式。利润越低越“卷” (指代非理性的内部竞争或“被自愿”竞争),而越“卷”则利润越低。市场之“卷”可以带来超低价格的商品。比如网购商品，这恐怕是最“卷”的领域之一。消费者经常发现商品品质与网上宣传不符，甚至许多品牌开始为网商定制廉价商品。消费者真的满意吗?不满意怎么办?退货?退了货又到哪儿去购买自己满意的商品?</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ascii="楷体" w:hAnsi="楷体" w:eastAsia="楷体" w:cs="楷体"/>
        </w:rPr>
      </w:pPr>
      <w:r>
        <w:rPr>
          <w:rFonts w:ascii="楷体" w:hAnsi="楷体" w:eastAsia="楷体" w:cs="楷体"/>
        </w:rPr>
        <w:t>习近平总书记在《扎实推动共同富裕》 一文中指出，要防止社会阶层固化，畅通向上流动通道，给更多人创造致富机会，形成人人参与的发展环境，避免“内卷”“躺平”。消除恶性循环之“卷”,构建一个良性竞争的经济社会，是政府义不容辞的责任，更是良好营商环境的重要组成部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有观点认为，“市场越来越‘卷’的问题应当由市场去解决”。请运用《经济与社会》的知识评析这一观点。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材料一  政府为了实现一定时期的社会经济目标，通过一定的税收政策手段调节市场主体的物质利益。假设某制造企业的某一产品当前销售单价为10.8万元（其中包含企业每销售一件产品应缴纳的税额1.8万元），年销售量10万件。现对该企业销售产品实行免税措施，免税后单价为10.2万元，年销售量为13万件。</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rPr>
        <w:t>材料二  国家税务总局公布的数据显示，2023年上半年，全国新增减税降费及退税缓费9279亿元，制造业及与之相关的批发零售业占比最高，累计新增减税降费及退税缓费3818亿元，占比41%。从企业规模看，中小微企业受益最明显，新增减税降费及退税缓费5766亿元，占比62%。</w:t>
      </w: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rPr>
        <w:t>材料三  2023年上半年国内生产总值593034亿元，按不变价格计算，同比增长5.5%，比一季度加快1.0个百分点。上半年，全国居民人均可支配收入19672元，同比名义增长6.5%，比一季度加快1.4个百分点。</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lang w:val="en-US" w:eastAsia="zh-CN"/>
        </w:rPr>
      </w:pPr>
      <w:r>
        <w:rPr>
          <w:rFonts w:hint="eastAsia" w:ascii="宋体" w:hAnsi="宋体" w:eastAsia="宋体" w:cs="宋体"/>
          <w:lang w:val="en-US" w:eastAsia="zh-CN"/>
        </w:rPr>
        <w:t>计算销售单件产品后买卖双方从免税中分别获得的收益。运用《经济与社会》的知识分析说明通过减税增强国内大循环内生动力和可靠性的路径。（1</w:t>
      </w:r>
      <w:r>
        <w:rPr>
          <w:rFonts w:hint="default" w:ascii="宋体" w:hAnsi="宋体" w:eastAsia="宋体" w:cs="宋体"/>
          <w:lang w:val="en-US" w:eastAsia="zh-CN"/>
        </w:rPr>
        <w:t>1</w:t>
      </w:r>
      <w:r>
        <w:rPr>
          <w:rFonts w:hint="eastAsia" w:ascii="宋体" w:hAnsi="宋体" w:eastAsia="宋体" w:cs="宋体"/>
          <w:lang w:val="en-US"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cs="楷体"/>
          <w:szCs w:val="21"/>
          <w:u w:val="single"/>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64" w:lineRule="auto"/>
        <w:ind w:firstLine="420"/>
        <w:jc w:val="left"/>
        <w:textAlignment w:val="center"/>
        <w:rPr>
          <w:rFonts w:hint="eastAsia" w:ascii="楷体" w:hAnsi="楷体" w:eastAsia="楷体" w:cs="楷体"/>
        </w:rPr>
      </w:pPr>
      <w:r>
        <w:rPr>
          <w:rFonts w:hint="eastAsia" w:ascii="楷体" w:hAnsi="楷体" w:eastAsia="楷体" w:cs="楷体"/>
          <w:lang w:val="en-US" w:eastAsia="zh-CN"/>
        </w:rPr>
        <w:t>10.</w:t>
      </w:r>
      <w:r>
        <w:rPr>
          <w:rFonts w:hint="eastAsia" w:ascii="楷体" w:hAnsi="楷体" w:eastAsia="楷体" w:cs="楷体"/>
        </w:rPr>
        <w:t>人才是一个国家和地区发展的第一资源。近年来，各地纷纷念好本地“人才经”，多措并举出台各种引才政策，吸引了大批优秀人才的流入。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szCs w:val="22"/>
        </w:rPr>
      </w:pPr>
      <w:r>
        <w:rPr>
          <w:rFonts w:ascii="Times New Roman" w:hAnsi="Times New Roman" w:eastAsia="Times New Roman" w:cs="Times New Roman"/>
          <w:kern w:val="0"/>
          <w:sz w:val="24"/>
          <w:szCs w:val="24"/>
        </w:rPr>
        <w:drawing>
          <wp:inline distT="0" distB="0" distL="0" distR="0">
            <wp:extent cx="3543300" cy="1657350"/>
            <wp:effectExtent l="0" t="0" r="0" b="0"/>
            <wp:docPr id="100009" name="图片 100009" descr="@@@333d652e-3516-437f-99b0-7e4e1a638a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333d652e-3516-437f-99b0-7e4e1a638ab9"/>
                    <pic:cNvPicPr>
                      <a:picLocks noChangeAspect="1"/>
                    </pic:cNvPicPr>
                  </pic:nvPicPr>
                  <pic:blipFill>
                    <a:blip r:embed="rId6"/>
                    <a:stretch>
                      <a:fillRect/>
                    </a:stretch>
                  </pic:blipFill>
                  <pic:spPr>
                    <a:xfrm>
                      <a:off x="0" y="0"/>
                      <a:ext cx="3543300" cy="1657350"/>
                    </a:xfrm>
                    <a:prstGeom prst="rect">
                      <a:avLst/>
                    </a:prstGeom>
                  </pic:spPr>
                </pic:pic>
              </a:graphicData>
            </a:graphic>
          </wp:inline>
        </w:drawing>
      </w:r>
      <w:r>
        <w:rPr>
          <w:rFonts w:ascii="Times New Roman" w:hAnsi="Times New Roman" w:eastAsia="Times New Roman" w:cs="Times New Roman"/>
          <w:kern w:val="0"/>
          <w:sz w:val="24"/>
          <w:szCs w:val="24"/>
        </w:rPr>
        <w:t>  </w:t>
      </w:r>
      <w:r>
        <w:rPr>
          <w:rFonts w:ascii="Times New Roman" w:hAnsi="Times New Roman" w:eastAsia="Times New Roman" w:cs="Times New Roman"/>
          <w:kern w:val="0"/>
          <w:sz w:val="24"/>
          <w:szCs w:val="24"/>
        </w:rPr>
        <w:drawing>
          <wp:inline distT="0" distB="0" distL="0" distR="0">
            <wp:extent cx="1828800" cy="1619250"/>
            <wp:effectExtent l="0" t="0" r="0" b="0"/>
            <wp:docPr id="100011" name="图片 100011" descr="@@@1dfbe2e1-e4e8-41fd-bee4-72e7b21625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1dfbe2e1-e4e8-41fd-bee4-72e7b216257a"/>
                    <pic:cNvPicPr>
                      <a:picLocks noChangeAspect="1"/>
                    </pic:cNvPicPr>
                  </pic:nvPicPr>
                  <pic:blipFill>
                    <a:blip r:embed="rId7"/>
                    <a:stretch>
                      <a:fillRect/>
                    </a:stretch>
                  </pic:blipFill>
                  <pic:spPr>
                    <a:xfrm>
                      <a:off x="0" y="0"/>
                      <a:ext cx="1828800" cy="1619250"/>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Cs w:val="22"/>
        </w:rPr>
      </w:pPr>
      <w:r>
        <w:rPr>
          <w:rFonts w:ascii="楷体" w:hAnsi="楷体" w:eastAsia="楷体" w:cs="楷体"/>
          <w:szCs w:val="22"/>
        </w:rPr>
        <w:t>对此，社会学家认为：“引才为先，留用为本”，吸引人才首先要知道人才需要什么</w:t>
      </w:r>
      <w:r>
        <w:rPr>
          <w:rFonts w:hint="eastAsia" w:ascii="楷体" w:hAnsi="楷体" w:eastAsia="楷体" w:cs="楷体"/>
          <w:szCs w:val="22"/>
          <w:lang w:eastAsia="zh-CN"/>
        </w:rPr>
        <w:t>。</w:t>
      </w:r>
      <w:r>
        <w:rPr>
          <w:rFonts w:ascii="楷体" w:hAnsi="楷体" w:eastAsia="楷体" w:cs="楷体"/>
          <w:szCs w:val="22"/>
        </w:rPr>
        <w:t xml:space="preserve">（见上图）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szCs w:val="22"/>
          <w:lang w:eastAsia="zh-CN"/>
        </w:rPr>
      </w:pPr>
      <w:r>
        <w:rPr>
          <w:rFonts w:ascii="Times New Roman" w:hAnsi="Times New Roman" w:eastAsia="宋体" w:cs="Times New Roman"/>
          <w:szCs w:val="22"/>
        </w:rPr>
        <w:t>在人才引进中，有人认为：要想将人才留住就得用“薪”。结合材料，运用《经济与社会》的知识评析该观点。</w:t>
      </w:r>
      <w:r>
        <w:rPr>
          <w:rFonts w:hint="eastAsia" w:ascii="Times New Roman" w:hAnsi="Times New Roman" w:eastAsia="宋体" w:cs="Times New Roman"/>
          <w:szCs w:val="22"/>
          <w:lang w:eastAsia="zh-CN"/>
        </w:rPr>
        <w:t>（</w:t>
      </w:r>
      <w:r>
        <w:rPr>
          <w:rFonts w:hint="eastAsia" w:cs="Times New Roman"/>
          <w:szCs w:val="22"/>
          <w:lang w:val="en-US" w:eastAsia="zh-CN"/>
        </w:rPr>
        <w:t>8</w:t>
      </w:r>
      <w:r>
        <w:rPr>
          <w:rFonts w:hint="eastAsia" w:ascii="Times New Roman" w:hAnsi="Times New Roman" w:eastAsia="宋体" w:cs="Times New Roman"/>
          <w:szCs w:val="22"/>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none"/>
          <w:lang w:eastAsia="zh-CN"/>
        </w:rPr>
        <w:t>【答】</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ascii="宋体" w:hAnsi="宋体" w:cs="楷体"/>
          <w:szCs w:val="21"/>
          <w:u w:val="single"/>
        </w:rPr>
      </w:pPr>
      <w:r>
        <w:rPr>
          <w:rFonts w:hint="eastAsia" w:ascii="宋体" w:hAnsi="宋体" w:cs="楷体"/>
          <w:szCs w:val="21"/>
          <w:u w:val="single"/>
        </w:rPr>
        <w:t xml:space="preserve"> </w:t>
      </w:r>
      <w:r>
        <w:rPr>
          <w:rFonts w:ascii="宋体" w:hAnsi="宋体" w:cs="楷体"/>
          <w:szCs w:val="21"/>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default" w:ascii="宋体" w:hAnsi="宋体" w:eastAsia="宋体" w:cs="宋体"/>
          <w:lang w:val="en-US" w:eastAsia="zh-CN"/>
        </w:rPr>
      </w:pPr>
      <w:r>
        <w:rPr>
          <w:rFonts w:hint="eastAsia" w:ascii="宋体" w:hAnsi="宋体" w:cs="楷体"/>
          <w:szCs w:val="21"/>
          <w:u w:val="single"/>
        </w:rPr>
        <w:t xml:space="preserve"> </w:t>
      </w:r>
      <w:r>
        <w:rPr>
          <w:rFonts w:ascii="宋体" w:hAnsi="宋体" w:cs="楷体"/>
          <w:szCs w:val="21"/>
          <w:u w:val="single"/>
        </w:rPr>
        <w:t xml:space="preserve">                                                                                                   </w:t>
      </w:r>
    </w:p>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480428A"/>
    <w:rsid w:val="0BAA637F"/>
    <w:rsid w:val="0D0A78C0"/>
    <w:rsid w:val="10FE7355"/>
    <w:rsid w:val="122F0753"/>
    <w:rsid w:val="135E60C7"/>
    <w:rsid w:val="14C8078D"/>
    <w:rsid w:val="18FA0FDB"/>
    <w:rsid w:val="1B2F4288"/>
    <w:rsid w:val="1DC0183F"/>
    <w:rsid w:val="20450046"/>
    <w:rsid w:val="230E5488"/>
    <w:rsid w:val="27D8516B"/>
    <w:rsid w:val="29202D75"/>
    <w:rsid w:val="39862D60"/>
    <w:rsid w:val="3E636958"/>
    <w:rsid w:val="3F674D94"/>
    <w:rsid w:val="43DC62DF"/>
    <w:rsid w:val="46337F86"/>
    <w:rsid w:val="4FF15E82"/>
    <w:rsid w:val="519A6CBC"/>
    <w:rsid w:val="51BF44D3"/>
    <w:rsid w:val="54871166"/>
    <w:rsid w:val="54C42E70"/>
    <w:rsid w:val="5EEC3359"/>
    <w:rsid w:val="63B47EFD"/>
    <w:rsid w:val="6AD05BA4"/>
    <w:rsid w:val="72805D21"/>
    <w:rsid w:val="78EA3677"/>
    <w:rsid w:val="7A964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2023-11-09T07:31:32Z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9cff0dc0d40749aab3e5cd6fcf4b4254mtcwotizoti2mg</vt:lpwstr>
  </property>
  <property fmtid="{D5CDD505-2E9C-101B-9397-08002B2CF9AE}" pid="4" name="KSOProductBuildVer">
    <vt:lpwstr>2052-12.1.0.15933</vt:lpwstr>
  </property>
  <property fmtid="{D5CDD505-2E9C-101B-9397-08002B2CF9AE}" pid="5" name="ICV">
    <vt:lpwstr>B39951D5A2FD4C09ACC2BFB844E72D61_12</vt:lpwstr>
  </property>
</Properties>
</file>