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BB107" w14:textId="77777777" w:rsidR="002B6650" w:rsidRDefault="002B6650" w:rsidP="002B6650">
      <w:pPr>
        <w:spacing w:line="420" w:lineRule="exact"/>
        <w:jc w:val="center"/>
      </w:pPr>
      <w:r>
        <w:rPr>
          <w:rFonts w:eastAsia="方正正中黑简体" w:hint="eastAsia"/>
          <w:sz w:val="28"/>
        </w:rPr>
        <w:t>题型</w:t>
      </w:r>
      <w:r>
        <w:rPr>
          <w:rFonts w:ascii="NEU-HZ-S92" w:hAnsi="NEU-HZ-S92"/>
          <w:sz w:val="28"/>
        </w:rPr>
        <w:t>5</w:t>
      </w:r>
      <w:r>
        <w:rPr>
          <w:sz w:val="28"/>
        </w:rPr>
        <w:t xml:space="preserve">　</w:t>
      </w:r>
      <w:r>
        <w:rPr>
          <w:rFonts w:eastAsia="方正正中黑简体" w:hint="eastAsia"/>
          <w:sz w:val="28"/>
        </w:rPr>
        <w:t>体现说明类主观题</w:t>
      </w:r>
    </w:p>
    <w:p w14:paraId="65531DA7" w14:textId="77777777" w:rsidR="002B6650" w:rsidRDefault="002B6650" w:rsidP="002B6650">
      <w:pPr>
        <w:spacing w:line="270" w:lineRule="atLeast"/>
        <w:jc w:val="center"/>
      </w:pPr>
      <w:r>
        <w:rPr>
          <w:noProof/>
        </w:rPr>
        <w:drawing>
          <wp:inline distT="0" distB="0" distL="0" distR="0" wp14:anchorId="629093DC" wp14:editId="5F8557A1">
            <wp:extent cx="752760" cy="243720"/>
            <wp:effectExtent l="0" t="0" r="0" b="0"/>
            <wp:docPr id="100" name="题型揭秘.jpg" descr="id:21474940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a:stretch>
                      <a:fillRect/>
                    </a:stretch>
                  </pic:blipFill>
                  <pic:spPr>
                    <a:xfrm>
                      <a:off x="0" y="0"/>
                      <a:ext cx="752760" cy="243720"/>
                    </a:xfrm>
                    <a:prstGeom prst="rect">
                      <a:avLst/>
                    </a:prstGeom>
                  </pic:spPr>
                </pic:pic>
              </a:graphicData>
            </a:graphic>
          </wp:inline>
        </w:drawing>
      </w:r>
    </w:p>
    <w:p w14:paraId="40A56DC7" w14:textId="77777777" w:rsidR="002B6650" w:rsidRDefault="002B6650" w:rsidP="002B6650">
      <w:r w:rsidRPr="002B6650">
        <w:rPr>
          <w:rFonts w:eastAsia="方正黑体_GBK" w:hint="eastAsia"/>
          <w:b/>
          <w:bCs/>
        </w:rPr>
        <w:t>题型特点</w:t>
      </w:r>
      <w:r w:rsidRPr="002B6650">
        <w:rPr>
          <w:rFonts w:ascii="方正黑体_GBK" w:hAnsi="方正黑体_GBK"/>
          <w:b/>
          <w:bCs/>
        </w:rPr>
        <w:t>:</w:t>
      </w:r>
      <w:r>
        <w:rPr>
          <w:rFonts w:hint="eastAsia"/>
        </w:rPr>
        <w:t>体现说明类主观题一般依据一定的材料信息</w:t>
      </w:r>
      <w:r>
        <w:rPr>
          <w:rFonts w:ascii="方正书宋_GBK" w:hAnsi="方正书宋_GBK"/>
        </w:rPr>
        <w:t>,</w:t>
      </w:r>
      <w:r>
        <w:rPr>
          <w:rFonts w:hint="eastAsia"/>
        </w:rPr>
        <w:t>要求学生通过对材料信息的解读</w:t>
      </w:r>
      <w:r>
        <w:rPr>
          <w:rFonts w:ascii="方正书宋_GBK" w:hAnsi="方正书宋_GBK"/>
        </w:rPr>
        <w:t>,</w:t>
      </w:r>
      <w:r>
        <w:rPr>
          <w:rFonts w:hint="eastAsia"/>
        </w:rPr>
        <w:t>概括出材料信息所体现的知识。体现说明类试题的设问一般以“体现”“反映”“蕴含”“说明”等为关键词</w:t>
      </w:r>
      <w:r>
        <w:rPr>
          <w:rFonts w:ascii="方正书宋_GBK" w:hAnsi="方正书宋_GBK"/>
        </w:rPr>
        <w:t>,</w:t>
      </w:r>
      <w:r>
        <w:rPr>
          <w:rFonts w:hint="eastAsia"/>
        </w:rPr>
        <w:t>要求学生分析说明“材料是如何体现某知识点的”“材料体现了某范围内的哪些道理”</w:t>
      </w:r>
      <w:r>
        <w:rPr>
          <w:rFonts w:ascii="方正书宋_GBK" w:hAnsi="方正书宋_GBK"/>
        </w:rPr>
        <w:t>,</w:t>
      </w:r>
      <w:r>
        <w:rPr>
          <w:rFonts w:hint="eastAsia"/>
        </w:rPr>
        <w:t>或者要求学生“运用某知识点</w:t>
      </w:r>
      <w:r>
        <w:rPr>
          <w:rFonts w:ascii="方正书宋_GBK" w:hAnsi="方正书宋_GBK"/>
        </w:rPr>
        <w:t>(</w:t>
      </w:r>
      <w:r>
        <w:rPr>
          <w:rFonts w:hint="eastAsia"/>
        </w:rPr>
        <w:t>或知识范围</w:t>
      </w:r>
      <w:r>
        <w:rPr>
          <w:rFonts w:ascii="方正书宋_GBK" w:hAnsi="方正书宋_GBK"/>
        </w:rPr>
        <w:t>)</w:t>
      </w:r>
      <w:r>
        <w:rPr>
          <w:rFonts w:hint="eastAsia"/>
        </w:rPr>
        <w:t>对材料进行分析说明”等。这类试题能够很好地实现背景材料和基础知识的结合</w:t>
      </w:r>
      <w:r>
        <w:rPr>
          <w:rFonts w:ascii="方正书宋_GBK" w:hAnsi="方正书宋_GBK"/>
        </w:rPr>
        <w:t>,</w:t>
      </w:r>
      <w:r>
        <w:rPr>
          <w:rFonts w:hint="eastAsia"/>
        </w:rPr>
        <w:t>既考查了学生获取和解读信息的能力</w:t>
      </w:r>
      <w:r>
        <w:rPr>
          <w:rFonts w:ascii="方正书宋_GBK" w:hAnsi="方正书宋_GBK"/>
        </w:rPr>
        <w:t>,</w:t>
      </w:r>
      <w:r>
        <w:rPr>
          <w:rFonts w:hint="eastAsia"/>
        </w:rPr>
        <w:t>又考查了学生分析和解决问题的能力。</w:t>
      </w:r>
    </w:p>
    <w:p w14:paraId="25714A87" w14:textId="77777777" w:rsidR="002B6650" w:rsidRPr="002B6650" w:rsidRDefault="002B6650" w:rsidP="002B6650">
      <w:pPr>
        <w:rPr>
          <w:b/>
          <w:bCs/>
        </w:rPr>
      </w:pPr>
      <w:r w:rsidRPr="002B6650">
        <w:rPr>
          <w:rFonts w:eastAsia="方正黑体_GBK" w:hint="eastAsia"/>
          <w:b/>
          <w:bCs/>
        </w:rPr>
        <w:t>解法指导</w:t>
      </w:r>
      <w:r w:rsidRPr="002B6650">
        <w:rPr>
          <w:rFonts w:ascii="方正黑体_GBK" w:hAnsi="方正黑体_GBK"/>
          <w:b/>
          <w:bCs/>
        </w:rPr>
        <w:t>:</w:t>
      </w:r>
    </w:p>
    <w:p w14:paraId="1DF9B6B3" w14:textId="4B9055ED" w:rsidR="002B6650" w:rsidRDefault="002B6650" w:rsidP="002B6650">
      <w:pPr>
        <w:spacing w:line="270" w:lineRule="atLeast"/>
        <w:jc w:val="center"/>
        <w:rPr>
          <w:rFonts w:hint="eastAsia"/>
        </w:rPr>
      </w:pPr>
      <w:r>
        <w:rPr>
          <w:noProof/>
        </w:rPr>
        <w:drawing>
          <wp:inline distT="0" distB="0" distL="0" distR="0" wp14:anchorId="197FAD3B" wp14:editId="52257FEF">
            <wp:extent cx="2161440" cy="1258200"/>
            <wp:effectExtent l="0" t="0" r="0" b="0"/>
            <wp:docPr id="101" name="22elzz-57.jpg" descr="id:21474940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jpeg"/>
                    <pic:cNvPicPr/>
                  </pic:nvPicPr>
                  <pic:blipFill>
                    <a:blip r:embed="rId7"/>
                    <a:stretch>
                      <a:fillRect/>
                    </a:stretch>
                  </pic:blipFill>
                  <pic:spPr>
                    <a:xfrm>
                      <a:off x="0" y="0"/>
                      <a:ext cx="2161440" cy="1258200"/>
                    </a:xfrm>
                    <a:prstGeom prst="rect">
                      <a:avLst/>
                    </a:prstGeom>
                  </pic:spPr>
                </pic:pic>
              </a:graphicData>
            </a:graphic>
          </wp:inline>
        </w:drawing>
      </w:r>
    </w:p>
    <w:p w14:paraId="0D8E9041" w14:textId="77777777" w:rsidR="002B6650" w:rsidRDefault="002B6650" w:rsidP="002B6650">
      <w:pPr>
        <w:spacing w:line="270" w:lineRule="atLeast"/>
      </w:pPr>
      <w:r>
        <w:rPr>
          <w:noProof/>
        </w:rPr>
        <w:drawing>
          <wp:inline distT="0" distB="0" distL="0" distR="0" wp14:anchorId="7B97EEFD" wp14:editId="0EB84C7C">
            <wp:extent cx="627120" cy="91080"/>
            <wp:effectExtent l="0" t="0" r="0" b="0"/>
            <wp:docPr id="106" name="答题误区.jpg" descr="id:21474940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8"/>
                    <a:stretch>
                      <a:fillRect/>
                    </a:stretch>
                  </pic:blipFill>
                  <pic:spPr>
                    <a:xfrm>
                      <a:off x="0" y="0"/>
                      <a:ext cx="627120" cy="91080"/>
                    </a:xfrm>
                    <a:prstGeom prst="rect">
                      <a:avLst/>
                    </a:prstGeom>
                  </pic:spPr>
                </pic:pic>
              </a:graphicData>
            </a:graphic>
          </wp:inline>
        </w:drawing>
      </w:r>
    </w:p>
    <w:p w14:paraId="3140C895" w14:textId="77777777" w:rsidR="002B6650" w:rsidRDefault="002B6650" w:rsidP="002B6650">
      <w:r>
        <w:t xml:space="preserve">　　</w:t>
      </w:r>
      <w:r>
        <w:rPr>
          <w:rFonts w:eastAsia="方正楷体_GBK" w:hint="eastAsia"/>
        </w:rPr>
        <w:t>不能准确抓住题型特点</w:t>
      </w:r>
      <w:r>
        <w:rPr>
          <w:rFonts w:ascii="方正楷体_GBK" w:hAnsi="方正楷体_GBK"/>
        </w:rPr>
        <w:t>,</w:t>
      </w:r>
      <w:r>
        <w:rPr>
          <w:rFonts w:eastAsia="方正楷体_GBK" w:hint="eastAsia"/>
        </w:rPr>
        <w:t>误把体现说明类设问当成原因意义类或建议措施类</w:t>
      </w:r>
      <w:r>
        <w:rPr>
          <w:rFonts w:ascii="方正楷体_GBK" w:hAnsi="方正楷体_GBK"/>
        </w:rPr>
        <w:t>,</w:t>
      </w:r>
      <w:r>
        <w:rPr>
          <w:rFonts w:eastAsia="方正楷体_GBK" w:hint="eastAsia"/>
        </w:rPr>
        <w:t>不能根据材料有效信息转化为具体的理论知识</w:t>
      </w:r>
      <w:r>
        <w:rPr>
          <w:rFonts w:ascii="方正楷体_GBK" w:hAnsi="方正楷体_GBK"/>
        </w:rPr>
        <w:t>,</w:t>
      </w:r>
      <w:r>
        <w:rPr>
          <w:rFonts w:eastAsia="方正楷体_GBK" w:hint="eastAsia"/>
        </w:rPr>
        <w:t>逻辑表述不清晰。</w:t>
      </w:r>
    </w:p>
    <w:p w14:paraId="1D5BD419" w14:textId="77777777" w:rsidR="002B6650" w:rsidRPr="002B6650" w:rsidRDefault="002B6650" w:rsidP="002B6650">
      <w:pPr>
        <w:rPr>
          <w:b/>
          <w:bCs/>
        </w:rPr>
      </w:pPr>
      <w:proofErr w:type="gramStart"/>
      <w:r w:rsidRPr="002B6650">
        <w:rPr>
          <w:rFonts w:eastAsia="方正黑体_GBK" w:hint="eastAsia"/>
          <w:b/>
          <w:bCs/>
        </w:rPr>
        <w:t>举题悟法</w:t>
      </w:r>
      <w:proofErr w:type="gramEnd"/>
    </w:p>
    <w:p w14:paraId="66E47FFF" w14:textId="77777777" w:rsidR="002B6650" w:rsidRDefault="002B6650" w:rsidP="002B6650">
      <w:r>
        <w:rPr>
          <w:rFonts w:ascii="方正楷体_GBK" w:hAnsi="方正楷体_GBK"/>
        </w:rPr>
        <w:t>(</w:t>
      </w:r>
      <w:r>
        <w:t>2021</w:t>
      </w:r>
      <w:r>
        <w:rPr>
          <w:rFonts w:eastAsia="NEU-B6-S92" w:hint="eastAsia"/>
        </w:rPr>
        <w:t>·</w:t>
      </w:r>
      <w:r>
        <w:rPr>
          <w:rFonts w:eastAsia="方正楷体_GBK" w:hint="eastAsia"/>
        </w:rPr>
        <w:t>河北卷</w:t>
      </w:r>
      <w:r>
        <w:rPr>
          <w:rFonts w:ascii="方正楷体_GBK" w:hAnsi="方正楷体_GBK"/>
        </w:rPr>
        <w:t>)</w:t>
      </w:r>
      <w:r>
        <w:rPr>
          <w:rFonts w:hint="eastAsia"/>
        </w:rPr>
        <w:t>阅读材料</w:t>
      </w:r>
      <w:r>
        <w:rPr>
          <w:rFonts w:ascii="方正书宋_GBK" w:hAnsi="方正书宋_GBK"/>
        </w:rPr>
        <w:t>,</w:t>
      </w:r>
      <w:r>
        <w:rPr>
          <w:rFonts w:hint="eastAsia"/>
        </w:rPr>
        <w:t>完成下列要求。</w:t>
      </w:r>
    </w:p>
    <w:p w14:paraId="670F4D53" w14:textId="77777777" w:rsidR="002B6650" w:rsidRDefault="002B6650" w:rsidP="002B6650">
      <w:r>
        <w:rPr>
          <w:rFonts w:eastAsia="方正黑体_GBK" w:hint="eastAsia"/>
        </w:rPr>
        <w:t>材料</w:t>
      </w:r>
      <w:proofErr w:type="gramStart"/>
      <w:r>
        <w:rPr>
          <w:rFonts w:eastAsia="方正黑体_GBK" w:hint="eastAsia"/>
        </w:rPr>
        <w:t>一</w:t>
      </w:r>
      <w:proofErr w:type="gramEnd"/>
      <w:r>
        <w:t xml:space="preserve">　</w:t>
      </w:r>
      <w:r>
        <w:rPr>
          <w:rFonts w:eastAsia="方正楷体_GBK" w:hint="eastAsia"/>
        </w:rPr>
        <w:t>随着人工智能、大数据等信息技术的快速发展</w:t>
      </w:r>
      <w:r>
        <w:rPr>
          <w:rFonts w:ascii="方正楷体_GBK" w:hAnsi="方正楷体_GBK"/>
        </w:rPr>
        <w:t>,</w:t>
      </w:r>
      <w:r>
        <w:rPr>
          <w:rFonts w:eastAsia="方正楷体_GBK" w:hint="eastAsia"/>
        </w:rPr>
        <w:t>在线预约、</w:t>
      </w:r>
      <w:proofErr w:type="gramStart"/>
      <w:r>
        <w:rPr>
          <w:rFonts w:eastAsia="方正楷体_GBK" w:hint="eastAsia"/>
        </w:rPr>
        <w:t>扫码支付</w:t>
      </w:r>
      <w:proofErr w:type="gramEnd"/>
      <w:r>
        <w:rPr>
          <w:rFonts w:eastAsia="方正楷体_GBK" w:hint="eastAsia"/>
        </w:rPr>
        <w:t>等新</w:t>
      </w:r>
      <w:proofErr w:type="gramStart"/>
      <w:r>
        <w:rPr>
          <w:rFonts w:eastAsia="方正楷体_GBK" w:hint="eastAsia"/>
        </w:rPr>
        <w:t>业态新模式</w:t>
      </w:r>
      <w:proofErr w:type="gramEnd"/>
      <w:r>
        <w:rPr>
          <w:rFonts w:eastAsia="方正楷体_GBK" w:hint="eastAsia"/>
        </w:rPr>
        <w:t>竞相涌现。</w:t>
      </w:r>
      <w:r>
        <w:t>A</w:t>
      </w:r>
      <w:r>
        <w:rPr>
          <w:rFonts w:eastAsia="方正楷体_GBK" w:hint="eastAsia"/>
        </w:rPr>
        <w:t>县积极推进“互联网</w:t>
      </w:r>
      <w:r>
        <w:t>+</w:t>
      </w:r>
      <w:r>
        <w:rPr>
          <w:rFonts w:eastAsia="方正楷体_GBK" w:hint="eastAsia"/>
        </w:rPr>
        <w:t>政务”服务</w:t>
      </w:r>
      <w:r>
        <w:rPr>
          <w:rFonts w:ascii="方正楷体_GBK" w:hAnsi="方正楷体_GBK"/>
        </w:rPr>
        <w:t>,</w:t>
      </w:r>
      <w:r>
        <w:rPr>
          <w:rFonts w:eastAsia="方正楷体_GBK" w:hint="eastAsia"/>
        </w:rPr>
        <w:t>推出“最多跑一次”事项清单</w:t>
      </w:r>
      <w:r>
        <w:rPr>
          <w:rFonts w:ascii="方正楷体_GBK" w:hAnsi="方正楷体_GBK"/>
        </w:rPr>
        <w:t>,</w:t>
      </w:r>
      <w:r>
        <w:rPr>
          <w:rFonts w:eastAsia="方正楷体_GBK" w:hint="eastAsia"/>
        </w:rPr>
        <w:t>甚至让部分事项“一趟也不用跑”</w:t>
      </w:r>
      <w:r>
        <w:rPr>
          <w:rFonts w:ascii="方正楷体_GBK" w:hAnsi="方正楷体_GBK"/>
        </w:rPr>
        <w:t>,</w:t>
      </w:r>
      <w:r>
        <w:rPr>
          <w:rFonts w:eastAsia="方正楷体_GBK" w:hint="eastAsia"/>
        </w:rPr>
        <w:t>方便了群众办事</w:t>
      </w:r>
      <w:r>
        <w:rPr>
          <w:rFonts w:ascii="方正楷体_GBK" w:hAnsi="方正楷体_GBK"/>
        </w:rPr>
        <w:t>,</w:t>
      </w:r>
      <w:r>
        <w:rPr>
          <w:rFonts w:eastAsia="方正楷体_GBK" w:hint="eastAsia"/>
        </w:rPr>
        <w:t>提高了服务效能。然而</w:t>
      </w:r>
      <w:r>
        <w:rPr>
          <w:rFonts w:ascii="方正楷体_GBK" w:hAnsi="方正楷体_GBK"/>
        </w:rPr>
        <w:t>,</w:t>
      </w:r>
      <w:r>
        <w:rPr>
          <w:rFonts w:eastAsia="方正楷体_GBK" w:hint="eastAsia"/>
        </w:rPr>
        <w:t>一些老年人由于不会上网、不会使用智能手机</w:t>
      </w:r>
      <w:r>
        <w:rPr>
          <w:rFonts w:ascii="方正楷体_GBK" w:hAnsi="方正楷体_GBK"/>
        </w:rPr>
        <w:t>,</w:t>
      </w:r>
      <w:r>
        <w:rPr>
          <w:rFonts w:eastAsia="方正楷体_GBK" w:hint="eastAsia"/>
        </w:rPr>
        <w:t>无法充分享受智能化带来的便利。</w:t>
      </w:r>
    </w:p>
    <w:p w14:paraId="51165460" w14:textId="77777777" w:rsidR="002B6650" w:rsidRDefault="002B6650" w:rsidP="002B6650">
      <w:r>
        <w:rPr>
          <w:rFonts w:eastAsia="方正黑体_GBK" w:hint="eastAsia"/>
        </w:rPr>
        <w:t>材料二</w:t>
      </w:r>
      <w:r>
        <w:t xml:space="preserve">　</w:t>
      </w:r>
      <w:r>
        <w:rPr>
          <w:rFonts w:eastAsia="方正楷体_GBK" w:hint="eastAsia"/>
        </w:rPr>
        <w:t>党的十九届五中全会审议通过的《中共中央关于制定国民经济和社会发展第十四个五年规划和二</w:t>
      </w:r>
      <w:r>
        <w:rPr>
          <w:rFonts w:eastAsia="NEU-B6-S92" w:hint="eastAsia"/>
        </w:rPr>
        <w:t>〇</w:t>
      </w:r>
      <w:r>
        <w:rPr>
          <w:rFonts w:eastAsia="方正楷体_GBK" w:hint="eastAsia"/>
        </w:rPr>
        <w:t>三五年远景目标的建议》提出</w:t>
      </w:r>
      <w:r>
        <w:rPr>
          <w:rFonts w:ascii="方正楷体_GBK" w:hAnsi="方正楷体_GBK"/>
        </w:rPr>
        <w:t>:</w:t>
      </w:r>
      <w:r>
        <w:rPr>
          <w:rFonts w:eastAsia="方正楷体_GBK" w:hint="eastAsia"/>
        </w:rPr>
        <w:t>“加强数字社会、数字政府建设</w:t>
      </w:r>
      <w:r>
        <w:rPr>
          <w:rFonts w:ascii="方正楷体_GBK" w:hAnsi="方正楷体_GBK"/>
        </w:rPr>
        <w:t>,</w:t>
      </w:r>
      <w:r>
        <w:rPr>
          <w:rFonts w:eastAsia="方正楷体_GBK" w:hint="eastAsia"/>
        </w:rPr>
        <w:t>提升公共服务、社会治理等数字化智能化水平。”</w:t>
      </w:r>
    </w:p>
    <w:p w14:paraId="60AFBDF1" w14:textId="77777777" w:rsidR="002B6650" w:rsidRDefault="002B6650" w:rsidP="002B6650">
      <w:r>
        <w:rPr>
          <w:rFonts w:hint="eastAsia"/>
        </w:rPr>
        <w:t>结合材料</w:t>
      </w:r>
      <w:r>
        <w:rPr>
          <w:rFonts w:ascii="方正书宋_GBK" w:hAnsi="方正书宋_GBK"/>
        </w:rPr>
        <w:t>,</w:t>
      </w:r>
      <w:r>
        <w:rPr>
          <w:rFonts w:hint="eastAsia"/>
        </w:rPr>
        <w:t>说明在数字政府建设进程中</w:t>
      </w:r>
      <w:r>
        <w:rPr>
          <w:rFonts w:ascii="方正书宋_GBK" w:hAnsi="方正书宋_GBK"/>
        </w:rPr>
        <w:t>,</w:t>
      </w:r>
      <w:r>
        <w:t>A</w:t>
      </w:r>
      <w:r>
        <w:rPr>
          <w:rFonts w:hint="eastAsia"/>
        </w:rPr>
        <w:t>县应如何提升公共服务水平。</w:t>
      </w:r>
      <w:r>
        <w:rPr>
          <w:rFonts w:ascii="方正楷体_GBK" w:hAnsi="方正楷体_GBK"/>
        </w:rPr>
        <w:t>(</w:t>
      </w:r>
      <w:r>
        <w:t>8</w:t>
      </w:r>
      <w:r>
        <w:rPr>
          <w:rFonts w:eastAsia="方正楷体_GBK" w:hint="eastAsia"/>
        </w:rPr>
        <w:t>分</w:t>
      </w:r>
      <w:r>
        <w:rPr>
          <w:rFonts w:ascii="方正楷体_GBK" w:hAnsi="方正楷体_GBK"/>
        </w:rPr>
        <w:t>)</w:t>
      </w:r>
    </w:p>
    <w:p w14:paraId="5116A2F0" w14:textId="77777777" w:rsidR="002B6650" w:rsidRDefault="002B6650" w:rsidP="002B6650"/>
    <w:p w14:paraId="6C75A99A" w14:textId="77777777" w:rsidR="002B6650" w:rsidRDefault="002B6650" w:rsidP="002B6650"/>
    <w:p w14:paraId="78F85FAB" w14:textId="77777777" w:rsidR="002B6650" w:rsidRDefault="002B6650" w:rsidP="002B6650"/>
    <w:p w14:paraId="6B7B2485" w14:textId="77777777" w:rsidR="002B6650" w:rsidRDefault="002B6650" w:rsidP="002B6650"/>
    <w:p w14:paraId="6E34F6D4" w14:textId="77777777" w:rsidR="002B6650" w:rsidRDefault="002B6650" w:rsidP="002B6650"/>
    <w:p w14:paraId="00EE0E3E" w14:textId="77777777" w:rsidR="002B6650" w:rsidRDefault="002B6650" w:rsidP="002B6650"/>
    <w:p w14:paraId="47A5114D" w14:textId="77777777" w:rsidR="002B6650" w:rsidRDefault="002B6650" w:rsidP="002B6650"/>
    <w:p w14:paraId="22959A55" w14:textId="77777777" w:rsidR="002B6650" w:rsidRDefault="002B6650" w:rsidP="002B6650"/>
    <w:p w14:paraId="604E6846" w14:textId="77777777" w:rsidR="002B6650" w:rsidRDefault="002B6650" w:rsidP="002B6650">
      <w:pPr>
        <w:spacing w:line="270" w:lineRule="atLeast"/>
        <w:jc w:val="center"/>
      </w:pPr>
      <w:r>
        <w:rPr>
          <w:noProof/>
        </w:rPr>
        <w:drawing>
          <wp:inline distT="0" distB="0" distL="0" distR="0" wp14:anchorId="4F5AEC2A" wp14:editId="6E22ED28">
            <wp:extent cx="752760" cy="243720"/>
            <wp:effectExtent l="0" t="0" r="0" b="0"/>
            <wp:docPr id="107" name="举题固法.jpg" descr="id:21474940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9"/>
                    <a:stretch>
                      <a:fillRect/>
                    </a:stretch>
                  </pic:blipFill>
                  <pic:spPr>
                    <a:xfrm>
                      <a:off x="0" y="0"/>
                      <a:ext cx="752760" cy="243720"/>
                    </a:xfrm>
                    <a:prstGeom prst="rect">
                      <a:avLst/>
                    </a:prstGeom>
                  </pic:spPr>
                </pic:pic>
              </a:graphicData>
            </a:graphic>
          </wp:inline>
        </w:drawing>
      </w:r>
    </w:p>
    <w:p w14:paraId="3B032484" w14:textId="77777777" w:rsidR="002B6650" w:rsidRDefault="002B6650" w:rsidP="002B6650">
      <w:r>
        <w:t xml:space="preserve">　　</w:t>
      </w:r>
      <w:r>
        <w:rPr>
          <w:rFonts w:eastAsia="方正楷体_GBK" w:hint="eastAsia"/>
        </w:rPr>
        <w:t>文艺具有“载道、明道”的功能。庆祝中国共产党成立</w:t>
      </w:r>
      <w:r>
        <w:t>100</w:t>
      </w:r>
      <w:r>
        <w:rPr>
          <w:rFonts w:eastAsia="方正楷体_GBK" w:hint="eastAsia"/>
        </w:rPr>
        <w:t>周年优秀电视剧展播剧目、重大革命历史题材史诗巨制《觉醒年代》</w:t>
      </w:r>
      <w:r>
        <w:rPr>
          <w:rFonts w:ascii="方正楷体_GBK" w:hAnsi="方正楷体_GBK"/>
        </w:rPr>
        <w:t>,</w:t>
      </w:r>
      <w:r>
        <w:rPr>
          <w:rFonts w:eastAsia="方正楷体_GBK" w:hint="eastAsia"/>
        </w:rPr>
        <w:t>以李大刻、陈独秀、胡适从相识、相知到分手走上不同人生道路的传奇故事为基本叙事线</w:t>
      </w:r>
      <w:r>
        <w:rPr>
          <w:rFonts w:ascii="方正楷体_GBK" w:hAnsi="方正楷体_GBK"/>
        </w:rPr>
        <w:t>,</w:t>
      </w:r>
      <w:r>
        <w:rPr>
          <w:rFonts w:eastAsia="方正楷体_GBK" w:hint="eastAsia"/>
        </w:rPr>
        <w:t>以毛泽东、周恩来、陈延年等革命青年追求真理的坎坷经历为辅助线</w:t>
      </w:r>
      <w:r>
        <w:rPr>
          <w:rFonts w:ascii="方正楷体_GBK" w:hAnsi="方正楷体_GBK"/>
        </w:rPr>
        <w:t>,</w:t>
      </w:r>
      <w:r>
        <w:rPr>
          <w:rFonts w:eastAsia="方正楷体_GBK" w:hint="eastAsia"/>
        </w:rPr>
        <w:t>艺术地再现了一百年前中国先进知识分子和一群热血青年演绎的一段追求真理、燃烧理想的澎湃岁月。该剧坚持守</w:t>
      </w:r>
      <w:proofErr w:type="gramStart"/>
      <w:r>
        <w:rPr>
          <w:rFonts w:eastAsia="方正楷体_GBK" w:hint="eastAsia"/>
        </w:rPr>
        <w:t>正创新</w:t>
      </w:r>
      <w:proofErr w:type="gramEnd"/>
      <w:r>
        <w:rPr>
          <w:rFonts w:ascii="方正楷体_GBK" w:hAnsi="方正楷体_GBK"/>
        </w:rPr>
        <w:t>,</w:t>
      </w:r>
      <w:r>
        <w:rPr>
          <w:rFonts w:eastAsia="方正楷体_GBK" w:hint="eastAsia"/>
        </w:rPr>
        <w:t>塑造出体现着鲜明的核心价值观的艺术形象</w:t>
      </w:r>
      <w:r>
        <w:rPr>
          <w:rFonts w:ascii="方正楷体_GBK" w:hAnsi="方正楷体_GBK"/>
        </w:rPr>
        <w:t>,</w:t>
      </w:r>
      <w:r>
        <w:rPr>
          <w:rFonts w:eastAsia="方正楷体_GBK" w:hint="eastAsia"/>
        </w:rPr>
        <w:t>使文艺创造有“大道”的支撑</w:t>
      </w:r>
      <w:r>
        <w:rPr>
          <w:rFonts w:ascii="方正楷体_GBK" w:hAnsi="方正楷体_GBK"/>
        </w:rPr>
        <w:t>,</w:t>
      </w:r>
      <w:r>
        <w:rPr>
          <w:rFonts w:eastAsia="方正楷体_GBK" w:hint="eastAsia"/>
        </w:rPr>
        <w:t>也使“大道”增添艺术魅力</w:t>
      </w:r>
      <w:r>
        <w:rPr>
          <w:rFonts w:ascii="方正楷体_GBK" w:hAnsi="方正楷体_GBK"/>
        </w:rPr>
        <w:t>,</w:t>
      </w:r>
      <w:r>
        <w:rPr>
          <w:rFonts w:eastAsia="方正楷体_GBK" w:hint="eastAsia"/>
        </w:rPr>
        <w:t>更震撼人心</w:t>
      </w:r>
      <w:r>
        <w:rPr>
          <w:rFonts w:ascii="方正楷体_GBK" w:hAnsi="方正楷体_GBK"/>
        </w:rPr>
        <w:t>,</w:t>
      </w:r>
      <w:r>
        <w:rPr>
          <w:rFonts w:eastAsia="方正楷体_GBK" w:hint="eastAsia"/>
        </w:rPr>
        <w:t>更具亲和力、吸引力、感染力和感召力。</w:t>
      </w:r>
    </w:p>
    <w:p w14:paraId="029CA2B1" w14:textId="77777777" w:rsidR="002B6650" w:rsidRDefault="002B6650" w:rsidP="002B6650">
      <w:r>
        <w:rPr>
          <w:rFonts w:hint="eastAsia"/>
        </w:rPr>
        <w:t>运用《文化生活》的相关知识</w:t>
      </w:r>
      <w:r>
        <w:rPr>
          <w:rFonts w:ascii="方正书宋_GBK" w:hAnsi="方正书宋_GBK"/>
        </w:rPr>
        <w:t>,</w:t>
      </w:r>
      <w:r>
        <w:rPr>
          <w:rFonts w:hint="eastAsia"/>
        </w:rPr>
        <w:t>说明文艺创造应如何守</w:t>
      </w:r>
      <w:proofErr w:type="gramStart"/>
      <w:r>
        <w:rPr>
          <w:rFonts w:hint="eastAsia"/>
        </w:rPr>
        <w:t>正创新</w:t>
      </w:r>
      <w:proofErr w:type="gramEnd"/>
      <w:r>
        <w:rPr>
          <w:rFonts w:ascii="方正书宋_GBK" w:hAnsi="方正书宋_GBK"/>
        </w:rPr>
        <w:t>,</w:t>
      </w:r>
      <w:r>
        <w:rPr>
          <w:rFonts w:hint="eastAsia"/>
        </w:rPr>
        <w:t>更好发挥“载道、明道”的功能。</w:t>
      </w:r>
      <w:r>
        <w:rPr>
          <w:rFonts w:ascii="方正楷体_GBK" w:hAnsi="方正楷体_GBK"/>
        </w:rPr>
        <w:t>(</w:t>
      </w:r>
      <w:r>
        <w:t>12</w:t>
      </w:r>
      <w:r>
        <w:rPr>
          <w:rFonts w:eastAsia="方正楷体_GBK" w:hint="eastAsia"/>
        </w:rPr>
        <w:t>分</w:t>
      </w:r>
      <w:r>
        <w:rPr>
          <w:rFonts w:ascii="方正楷体_GBK" w:hAnsi="方正楷体_GBK"/>
        </w:rPr>
        <w:t>)</w:t>
      </w:r>
    </w:p>
    <w:p w14:paraId="4E19FF65" w14:textId="77777777" w:rsidR="002B6650" w:rsidRDefault="002B6650" w:rsidP="002B6650"/>
    <w:p w14:paraId="5667AE25" w14:textId="77777777" w:rsidR="002B6650" w:rsidRDefault="002B6650" w:rsidP="002B6650"/>
    <w:p w14:paraId="789E639B" w14:textId="77777777" w:rsidR="002B6650" w:rsidRPr="002B6650" w:rsidRDefault="002B6650" w:rsidP="002B6650">
      <w:pPr>
        <w:rPr>
          <w:rFonts w:hint="eastAsia"/>
        </w:rPr>
      </w:pPr>
    </w:p>
    <w:sectPr w:rsidR="002B6650" w:rsidRPr="002B66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5DB9" w14:textId="77777777" w:rsidR="00E11909" w:rsidRDefault="00E11909" w:rsidP="002B6650">
      <w:pPr>
        <w:spacing w:line="240" w:lineRule="auto"/>
      </w:pPr>
      <w:r>
        <w:separator/>
      </w:r>
    </w:p>
  </w:endnote>
  <w:endnote w:type="continuationSeparator" w:id="0">
    <w:p w14:paraId="2C0878FD" w14:textId="77777777" w:rsidR="00E11909" w:rsidRDefault="00E11909" w:rsidP="002B6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正中黑简体">
    <w:altName w:val="宋体"/>
    <w:panose1 w:val="00000000000000000000"/>
    <w:charset w:val="86"/>
    <w:family w:val="roman"/>
    <w:notTrueType/>
    <w:pitch w:val="default"/>
  </w:font>
  <w:font w:name="NEU-HZ-S92">
    <w:altName w:val="微软雅黑"/>
    <w:charset w:val="86"/>
    <w:family w:val="script"/>
    <w:pitch w:val="variable"/>
    <w:sig w:usb0="10002003" w:usb1="AB1E0800" w:usb2="000A005E" w:usb3="00000000" w:csb0="003C0041"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CC34" w14:textId="77777777" w:rsidR="00E11909" w:rsidRDefault="00E11909" w:rsidP="002B6650">
      <w:pPr>
        <w:spacing w:line="240" w:lineRule="auto"/>
      </w:pPr>
      <w:r>
        <w:separator/>
      </w:r>
    </w:p>
  </w:footnote>
  <w:footnote w:type="continuationSeparator" w:id="0">
    <w:p w14:paraId="2AF47DAF" w14:textId="77777777" w:rsidR="00E11909" w:rsidRDefault="00E11909" w:rsidP="002B66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ED"/>
    <w:rsid w:val="002B6650"/>
    <w:rsid w:val="00305226"/>
    <w:rsid w:val="009316ED"/>
    <w:rsid w:val="00E1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73607"/>
  <w15:chartTrackingRefBased/>
  <w15:docId w15:val="{495950A4-D7B7-4665-901B-B1D09618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650"/>
    <w:pPr>
      <w:spacing w:line="270"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650"/>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2B6650"/>
    <w:rPr>
      <w:sz w:val="18"/>
      <w:szCs w:val="18"/>
    </w:rPr>
  </w:style>
  <w:style w:type="paragraph" w:styleId="a5">
    <w:name w:val="footer"/>
    <w:basedOn w:val="a"/>
    <w:link w:val="a6"/>
    <w:uiPriority w:val="99"/>
    <w:unhideWhenUsed/>
    <w:rsid w:val="002B6650"/>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2B66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2021-10-28T03:34:00Z</dcterms:created>
  <dcterms:modified xsi:type="dcterms:W3CDTF">2021-10-28T03:35:00Z</dcterms:modified>
</cp:coreProperties>
</file>