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5999" w:rsidRDefault="00000000">
      <w:pPr>
        <w:widowControl/>
        <w:spacing w:line="27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</w:t>
      </w:r>
      <w:r w:rsidR="00054542">
        <w:rPr>
          <w:rFonts w:ascii="黑体" w:eastAsia="黑体" w:hAnsi="宋体" w:cs="MT Extra"/>
          <w:b/>
          <w:sz w:val="28"/>
          <w:szCs w:val="28"/>
        </w:rPr>
        <w:t>2</w:t>
      </w:r>
      <w:r>
        <w:rPr>
          <w:rFonts w:ascii="黑体" w:eastAsia="黑体" w:hAnsi="宋体" w:cs="MT Extra" w:hint="eastAsia"/>
          <w:b/>
          <w:sz w:val="28"/>
          <w:szCs w:val="28"/>
        </w:rPr>
        <w:t>—202</w:t>
      </w:r>
      <w:r w:rsidR="00054542">
        <w:rPr>
          <w:rFonts w:ascii="黑体" w:eastAsia="黑体" w:hAnsi="宋体" w:cs="MT Extra"/>
          <w:b/>
          <w:sz w:val="28"/>
          <w:szCs w:val="28"/>
        </w:rPr>
        <w:t>3</w:t>
      </w:r>
      <w:r>
        <w:rPr>
          <w:rFonts w:ascii="黑体" w:eastAsia="黑体" w:hAnsi="宋体" w:cs="MT Extra" w:hint="eastAsia"/>
          <w:b/>
          <w:sz w:val="28"/>
          <w:szCs w:val="28"/>
        </w:rPr>
        <w:t>学年度第一学期高三物理学科导学案</w:t>
      </w:r>
    </w:p>
    <w:p w:rsidR="00EA5999" w:rsidRDefault="00000000">
      <w:pPr>
        <w:widowControl/>
        <w:spacing w:line="270" w:lineRule="atLeast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基础回归模块一</w:t>
      </w:r>
      <w:r w:rsidR="006A0F77">
        <w:rPr>
          <w:rFonts w:ascii="黑体" w:eastAsia="黑体" w:hAnsi="黑体" w:hint="eastAsia"/>
          <w:b/>
          <w:sz w:val="24"/>
          <w:szCs w:val="24"/>
        </w:rPr>
        <w:t>：</w:t>
      </w:r>
      <w:r>
        <w:rPr>
          <w:rFonts w:ascii="黑体" w:eastAsia="黑体" w:hAnsi="黑体" w:hint="eastAsia"/>
          <w:b/>
          <w:sz w:val="24"/>
          <w:szCs w:val="24"/>
        </w:rPr>
        <w:t>光及其应用 原子与原子核 波粒二象性</w:t>
      </w:r>
    </w:p>
    <w:p w:rsidR="00EA5999" w:rsidRPr="00054542" w:rsidRDefault="00000000">
      <w:pPr>
        <w:widowControl/>
        <w:spacing w:line="270" w:lineRule="atLeast"/>
        <w:jc w:val="center"/>
        <w:rPr>
          <w:rFonts w:ascii="楷体" w:eastAsia="楷体" w:hAnsi="楷体" w:cs="楷体_GB2312"/>
          <w:color w:val="000000"/>
          <w:kern w:val="0"/>
          <w:sz w:val="24"/>
          <w:szCs w:val="24"/>
        </w:rPr>
      </w:pPr>
      <w:r w:rsidRPr="00054542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>研制人：</w:t>
      </w:r>
      <w:r w:rsidR="00054542" w:rsidRPr="00054542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>郭云松</w:t>
      </w:r>
      <w:r w:rsidRPr="00054542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 xml:space="preserve">   审核人：倪富昌</w:t>
      </w:r>
    </w:p>
    <w:p w:rsidR="00EA5999" w:rsidRPr="00054542" w:rsidRDefault="00000000">
      <w:pPr>
        <w:widowControl/>
        <w:spacing w:line="270" w:lineRule="atLeast"/>
        <w:jc w:val="center"/>
        <w:rPr>
          <w:rFonts w:ascii="楷体" w:eastAsia="楷体" w:hAnsi="楷体" w:cs="楷体_GB2312"/>
          <w:color w:val="1E1E1E"/>
          <w:sz w:val="24"/>
          <w:szCs w:val="24"/>
          <w:shd w:val="clear" w:color="auto" w:fill="FFFFFF"/>
        </w:rPr>
      </w:pPr>
      <w:r w:rsidRPr="00054542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>班级：</w:t>
      </w:r>
      <w:r w:rsidRPr="00054542">
        <w:rPr>
          <w:rFonts w:ascii="楷体" w:eastAsia="楷体" w:hAnsi="楷体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 w:rsidRPr="00054542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 xml:space="preserve"> 姓名：</w:t>
      </w:r>
      <w:r w:rsidRPr="00054542">
        <w:rPr>
          <w:rFonts w:ascii="楷体" w:eastAsia="楷体" w:hAnsi="楷体" w:cs="楷体_GB2312" w:hint="eastAsia"/>
          <w:color w:val="000000"/>
          <w:kern w:val="0"/>
          <w:sz w:val="24"/>
          <w:szCs w:val="24"/>
          <w:u w:val="single"/>
        </w:rPr>
        <w:t xml:space="preserve">              </w:t>
      </w:r>
      <w:r w:rsidRPr="00054542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 xml:space="preserve"> 学号：</w:t>
      </w:r>
      <w:r w:rsidRPr="00054542">
        <w:rPr>
          <w:rFonts w:ascii="楷体" w:eastAsia="楷体" w:hAnsi="楷体" w:cs="楷体_GB2312" w:hint="eastAsia"/>
          <w:color w:val="000000"/>
          <w:kern w:val="0"/>
          <w:sz w:val="24"/>
          <w:szCs w:val="24"/>
          <w:u w:val="single"/>
        </w:rPr>
        <w:t xml:space="preserve">            </w:t>
      </w:r>
      <w:r w:rsidRPr="00054542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 xml:space="preserve">   授课日期：</w:t>
      </w:r>
      <w:r w:rsidRPr="00054542">
        <w:rPr>
          <w:rFonts w:ascii="楷体" w:eastAsia="楷体" w:hAnsi="楷体" w:cs="楷体_GB2312" w:hint="eastAsia"/>
          <w:color w:val="1E1E1E"/>
          <w:sz w:val="24"/>
          <w:szCs w:val="24"/>
          <w:shd w:val="clear" w:color="auto" w:fill="FFFFFF"/>
        </w:rPr>
        <w:t>202</w:t>
      </w:r>
      <w:r w:rsidR="00054542">
        <w:rPr>
          <w:rFonts w:ascii="楷体" w:eastAsia="楷体" w:hAnsi="楷体" w:cs="楷体_GB2312"/>
          <w:color w:val="1E1E1E"/>
          <w:sz w:val="24"/>
          <w:szCs w:val="24"/>
          <w:shd w:val="clear" w:color="auto" w:fill="FFFFFF"/>
        </w:rPr>
        <w:t>3</w:t>
      </w:r>
      <w:r w:rsidRPr="00054542">
        <w:rPr>
          <w:rFonts w:ascii="楷体" w:eastAsia="楷体" w:hAnsi="楷体" w:cs="楷体_GB2312" w:hint="eastAsia"/>
          <w:color w:val="1E1E1E"/>
          <w:sz w:val="24"/>
          <w:szCs w:val="24"/>
          <w:shd w:val="clear" w:color="auto" w:fill="FFFFFF"/>
        </w:rPr>
        <w:t>.</w:t>
      </w:r>
      <w:r w:rsidR="00054542">
        <w:rPr>
          <w:rFonts w:ascii="楷体" w:eastAsia="楷体" w:hAnsi="楷体" w:cs="楷体_GB2312"/>
          <w:color w:val="1E1E1E"/>
          <w:sz w:val="24"/>
          <w:szCs w:val="24"/>
          <w:shd w:val="clear" w:color="auto" w:fill="FFFFFF"/>
        </w:rPr>
        <w:t>4</w:t>
      </w:r>
      <w:r w:rsidRPr="00054542">
        <w:rPr>
          <w:rFonts w:ascii="楷体" w:eastAsia="楷体" w:hAnsi="楷体" w:cs="楷体_GB2312" w:hint="eastAsia"/>
          <w:color w:val="1E1E1E"/>
          <w:sz w:val="24"/>
          <w:szCs w:val="24"/>
          <w:shd w:val="clear" w:color="auto" w:fill="FFFFFF"/>
        </w:rPr>
        <w:t>.</w:t>
      </w:r>
      <w:r w:rsidR="00054542">
        <w:rPr>
          <w:rFonts w:ascii="楷体" w:eastAsia="楷体" w:hAnsi="楷体" w:cs="楷体_GB2312"/>
          <w:color w:val="1E1E1E"/>
          <w:sz w:val="24"/>
          <w:szCs w:val="24"/>
          <w:shd w:val="clear" w:color="auto" w:fill="FFFFFF"/>
        </w:rPr>
        <w:t>26</w:t>
      </w:r>
    </w:p>
    <w:p w:rsidR="00054542" w:rsidRPr="00054542" w:rsidRDefault="00054542" w:rsidP="00054542">
      <w:pPr>
        <w:tabs>
          <w:tab w:val="left" w:pos="4680"/>
        </w:tabs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</w:pPr>
      <w:r w:rsidRPr="00054542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课程标准：</w:t>
      </w:r>
    </w:p>
    <w:p w:rsidR="00EA5999" w:rsidRPr="00054542" w:rsidRDefault="00000000">
      <w:pPr>
        <w:tabs>
          <w:tab w:val="left" w:pos="4680"/>
        </w:tabs>
        <w:ind w:firstLineChars="150" w:firstLine="315"/>
        <w:rPr>
          <w:rFonts w:asciiTheme="minorEastAsia" w:eastAsiaTheme="minorEastAsia" w:hAnsiTheme="minorEastAsia"/>
          <w:color w:val="000000" w:themeColor="text1"/>
          <w:szCs w:val="21"/>
        </w:rPr>
      </w:pPr>
      <w:r w:rsidRPr="00054542">
        <w:rPr>
          <w:rFonts w:asciiTheme="minorEastAsia" w:eastAsiaTheme="minorEastAsia" w:hAnsiTheme="minorEastAsia"/>
          <w:color w:val="000000" w:themeColor="text1"/>
          <w:szCs w:val="21"/>
        </w:rPr>
        <w:t>通过实验，了解光电效应现象．能根据实验结论说明光的波粒二象性．知道爱因斯坦光电效应方程及其意义．</w:t>
      </w:r>
    </w:p>
    <w:p w:rsidR="00EA5999" w:rsidRDefault="00EA5999"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</w:p>
    <w:p w:rsidR="00EA5999" w:rsidRDefault="00000000"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【自主导学】</w:t>
      </w:r>
    </w:p>
    <w:p w:rsidR="00EA5999" w:rsidRDefault="00000000">
      <w:pPr>
        <w:pStyle w:val="a3"/>
        <w:tabs>
          <w:tab w:val="left" w:pos="4680"/>
        </w:tabs>
        <w:snapToGrid w:val="0"/>
        <w:ind w:firstLineChars="150" w:firstLine="315"/>
        <w:rPr>
          <w:rFonts w:ascii="楷体" w:eastAsia="楷体" w:hAnsi="楷体" w:cs="宋体"/>
          <w:b/>
          <w:bCs/>
        </w:rPr>
      </w:pPr>
      <w:r>
        <w:rPr>
          <w:rFonts w:ascii="楷体" w:eastAsia="楷体" w:hAnsi="楷体" w:cs="Times New Roman" w:hint="eastAsia"/>
        </w:rPr>
        <w:t>1．了解光电效应研究的两条线索，三个关系式</w:t>
      </w:r>
      <w:r>
        <w:rPr>
          <w:rFonts w:asciiTheme="minorEastAsia" w:eastAsiaTheme="minorEastAsia" w:hAnsiTheme="minorEastAsia"/>
        </w:rPr>
        <w:t>．</w:t>
      </w:r>
    </w:p>
    <w:p w:rsidR="00EA5999" w:rsidRDefault="00000000">
      <w:pPr>
        <w:widowControl/>
        <w:spacing w:line="270" w:lineRule="exact"/>
        <w:ind w:firstLineChars="150" w:firstLine="315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2</w:t>
      </w:r>
      <w:r>
        <w:rPr>
          <w:rFonts w:ascii="楷体" w:eastAsia="楷体" w:hAnsi="楷体" w:hint="eastAsia"/>
        </w:rPr>
        <w:t>．</w:t>
      </w:r>
      <w:r>
        <w:rPr>
          <w:rFonts w:ascii="楷体" w:eastAsia="楷体" w:hAnsi="楷体" w:hint="eastAsia"/>
          <w:szCs w:val="21"/>
        </w:rPr>
        <w:t>会利用图像分析光电效应</w:t>
      </w:r>
      <w:r>
        <w:rPr>
          <w:rFonts w:asciiTheme="minorEastAsia" w:eastAsiaTheme="minorEastAsia" w:hAnsiTheme="minorEastAsia"/>
          <w:szCs w:val="21"/>
        </w:rPr>
        <w:t>．</w:t>
      </w:r>
    </w:p>
    <w:p w:rsidR="00EA5999" w:rsidRDefault="00EA5999">
      <w:pPr>
        <w:widowControl/>
        <w:spacing w:line="270" w:lineRule="exact"/>
        <w:jc w:val="left"/>
        <w:rPr>
          <w:rFonts w:ascii="宋体" w:hAnsi="宋体" w:cs="宋体"/>
          <w:b/>
          <w:bCs/>
          <w:szCs w:val="21"/>
        </w:rPr>
      </w:pPr>
    </w:p>
    <w:p w:rsidR="00EA5999" w:rsidRDefault="00000000"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【重点导思】</w:t>
      </w:r>
    </w:p>
    <w:p w:rsidR="00EA5999" w:rsidRDefault="00000000">
      <w:pPr>
        <w:pStyle w:val="a3"/>
        <w:tabs>
          <w:tab w:val="left" w:pos="4680"/>
        </w:tabs>
        <w:snapToGrid w:val="0"/>
        <w:ind w:firstLineChars="200" w:firstLine="420"/>
        <w:jc w:val="left"/>
        <w:rPr>
          <w:rFonts w:ascii="Times New Roman" w:eastAsia="隶书" w:hAnsi="Times New Roman" w:cs="Times New Roman"/>
        </w:rPr>
      </w:pPr>
      <w:r>
        <w:rPr>
          <w:rFonts w:ascii="Times New Roman" w:eastAsia="隶书" w:hAnsi="Times New Roman" w:cs="Times New Roman"/>
        </w:rPr>
        <w:t>考点</w:t>
      </w:r>
      <w:r>
        <w:rPr>
          <w:rFonts w:ascii="Times New Roman" w:eastAsia="隶书" w:hAnsi="Times New Roman" w:cs="Times New Roman" w:hint="eastAsia"/>
        </w:rPr>
        <w:t>一</w:t>
      </w:r>
      <w:r>
        <w:rPr>
          <w:rFonts w:ascii="Times New Roman" w:eastAsia="隶书" w:hAnsi="Times New Roman" w:cs="Times New Roman"/>
        </w:rPr>
        <w:t xml:space="preserve">　光电效应</w:t>
      </w:r>
      <w:r>
        <w:rPr>
          <w:rFonts w:ascii="Times New Roman" w:eastAsia="隶书" w:hAnsi="Times New Roman" w:cs="Times New Roman" w:hint="eastAsia"/>
        </w:rPr>
        <w:t>的理解</w:t>
      </w:r>
    </w:p>
    <w:p w:rsidR="00EA5999" w:rsidRDefault="00000000">
      <w:pPr>
        <w:widowControl/>
        <w:tabs>
          <w:tab w:val="left" w:pos="4620"/>
        </w:tabs>
        <w:adjustRightInd w:val="0"/>
        <w:snapToGrid w:val="0"/>
        <w:jc w:val="left"/>
        <w:rPr>
          <w:bCs/>
          <w:szCs w:val="21"/>
        </w:rPr>
      </w:pPr>
      <w:r>
        <w:rPr>
          <w:rFonts w:hAnsi="宋体" w:cs="宋体" w:hint="eastAsia"/>
        </w:rPr>
        <w:t>例</w:t>
      </w:r>
      <w:r>
        <w:rPr>
          <w:rFonts w:hint="eastAsia"/>
          <w:bCs/>
          <w:szCs w:val="21"/>
        </w:rPr>
        <w:t>1</w:t>
      </w:r>
      <w:r>
        <w:rPr>
          <w:bCs/>
          <w:szCs w:val="21"/>
        </w:rPr>
        <w:t xml:space="preserve">. </w:t>
      </w:r>
      <w:r>
        <w:rPr>
          <w:rFonts w:hint="eastAsia"/>
          <w:bCs/>
          <w:szCs w:val="21"/>
        </w:rPr>
        <w:t>以往我们认识的光电效应是单光子光电效应，即一个电子在极短时间内只能吸收到一个光子而从金属表面逸出。强激光的出现丰富了人们对于光电效应的认识，用强激光照射金属，由于其光子密度极大，一个电子在极短时间内吸收多个光子成为可能，从而形成多光子光电效应，这已被实验证实。</w:t>
      </w:r>
    </w:p>
    <w:p w:rsidR="00EA5999" w:rsidRDefault="00054542">
      <w:pPr>
        <w:widowControl/>
        <w:tabs>
          <w:tab w:val="left" w:pos="4620"/>
        </w:tabs>
        <w:adjustRightInd w:val="0"/>
        <w:snapToGrid w:val="0"/>
        <w:ind w:firstLineChars="200" w:firstLine="420"/>
        <w:jc w:val="left"/>
        <w:rPr>
          <w:bCs/>
          <w:szCs w:val="21"/>
        </w:rPr>
      </w:pPr>
      <w:r>
        <w:rPr>
          <w:bCs/>
          <w:noProof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4586670</wp:posOffset>
            </wp:positionH>
            <wp:positionV relativeFrom="paragraph">
              <wp:posOffset>428382</wp:posOffset>
            </wp:positionV>
            <wp:extent cx="1504950" cy="1346200"/>
            <wp:effectExtent l="0" t="0" r="0" b="6350"/>
            <wp:wrapSquare wrapText="bothSides"/>
            <wp:docPr id="5" name="图片 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rFonts w:hint="eastAsia"/>
          <w:bCs/>
          <w:szCs w:val="21"/>
        </w:rPr>
        <w:t>光电效应实验装置示意如图。用频率为</w:t>
      </w:r>
      <w:r w:rsidR="00000000">
        <w:rPr>
          <w:bCs/>
          <w:szCs w:val="21"/>
        </w:rPr>
        <w:t>ν</w:t>
      </w:r>
      <w:r w:rsidR="00000000">
        <w:rPr>
          <w:rFonts w:hint="eastAsia"/>
          <w:bCs/>
          <w:szCs w:val="21"/>
        </w:rPr>
        <w:t>的普通光源照射阴极</w:t>
      </w:r>
      <w:r w:rsidR="00000000">
        <w:rPr>
          <w:bCs/>
          <w:i/>
          <w:szCs w:val="21"/>
        </w:rPr>
        <w:t>K</w:t>
      </w:r>
      <w:r w:rsidR="00000000">
        <w:rPr>
          <w:rFonts w:hint="eastAsia"/>
          <w:bCs/>
          <w:szCs w:val="21"/>
        </w:rPr>
        <w:t>，没有发生光电效应。换用同样频率</w:t>
      </w:r>
      <w:r w:rsidR="00000000">
        <w:rPr>
          <w:bCs/>
          <w:szCs w:val="21"/>
        </w:rPr>
        <w:t>ν</w:t>
      </w:r>
      <w:r w:rsidR="00000000">
        <w:rPr>
          <w:rFonts w:hint="eastAsia"/>
          <w:bCs/>
          <w:szCs w:val="21"/>
        </w:rPr>
        <w:t>的强激光照射阴极</w:t>
      </w:r>
      <w:r w:rsidR="00000000">
        <w:rPr>
          <w:bCs/>
          <w:i/>
          <w:szCs w:val="21"/>
        </w:rPr>
        <w:t>K</w:t>
      </w:r>
      <w:r w:rsidR="00000000">
        <w:rPr>
          <w:rFonts w:hint="eastAsia"/>
          <w:bCs/>
          <w:szCs w:val="21"/>
        </w:rPr>
        <w:t>，则发生了光电效应；此时，若加上反向电压</w:t>
      </w:r>
      <w:r w:rsidR="00000000">
        <w:rPr>
          <w:bCs/>
          <w:szCs w:val="21"/>
        </w:rPr>
        <w:t>U</w:t>
      </w:r>
      <w:r w:rsidR="00000000">
        <w:rPr>
          <w:rFonts w:hint="eastAsia"/>
          <w:bCs/>
          <w:szCs w:val="21"/>
        </w:rPr>
        <w:t>，即将阴极</w:t>
      </w:r>
      <w:r w:rsidR="00000000">
        <w:rPr>
          <w:bCs/>
          <w:i/>
          <w:szCs w:val="21"/>
        </w:rPr>
        <w:t>K</w:t>
      </w:r>
      <w:r w:rsidR="00000000">
        <w:rPr>
          <w:rFonts w:hint="eastAsia"/>
          <w:bCs/>
          <w:szCs w:val="21"/>
        </w:rPr>
        <w:t>接电源正极，阳极</w:t>
      </w:r>
      <w:r w:rsidR="00000000">
        <w:rPr>
          <w:bCs/>
          <w:i/>
          <w:szCs w:val="21"/>
        </w:rPr>
        <w:t>A</w:t>
      </w:r>
      <w:r w:rsidR="00000000">
        <w:rPr>
          <w:rFonts w:hint="eastAsia"/>
          <w:bCs/>
          <w:szCs w:val="21"/>
        </w:rPr>
        <w:t>接电源负极，在</w:t>
      </w:r>
      <w:r w:rsidR="00000000">
        <w:rPr>
          <w:bCs/>
          <w:i/>
          <w:szCs w:val="21"/>
        </w:rPr>
        <w:t>KA</w:t>
      </w:r>
      <w:r w:rsidR="00000000">
        <w:rPr>
          <w:rFonts w:hint="eastAsia"/>
          <w:bCs/>
          <w:szCs w:val="21"/>
        </w:rPr>
        <w:t>之间就形成了使光电子减速的电场。逐渐增大</w:t>
      </w:r>
      <w:r w:rsidR="00000000">
        <w:rPr>
          <w:bCs/>
          <w:szCs w:val="21"/>
        </w:rPr>
        <w:t>U</w:t>
      </w:r>
      <w:r w:rsidR="00000000">
        <w:rPr>
          <w:rFonts w:hint="eastAsia"/>
          <w:bCs/>
          <w:szCs w:val="21"/>
        </w:rPr>
        <w:t>，光电流会逐渐减小；当光电流恰好减小到零时，所加反向电压</w:t>
      </w:r>
      <w:r w:rsidR="00000000">
        <w:rPr>
          <w:bCs/>
          <w:szCs w:val="21"/>
        </w:rPr>
        <w:t>U</w:t>
      </w:r>
      <w:r w:rsidR="00000000">
        <w:rPr>
          <w:rFonts w:hint="eastAsia"/>
          <w:bCs/>
          <w:szCs w:val="21"/>
        </w:rPr>
        <w:t>可能是下列的</w:t>
      </w:r>
      <w:r w:rsidR="00000000">
        <w:rPr>
          <w:bCs/>
          <w:szCs w:val="21"/>
        </w:rPr>
        <w:t>(</w:t>
      </w:r>
      <w:r w:rsidR="00000000">
        <w:rPr>
          <w:rFonts w:hint="eastAsia"/>
          <w:bCs/>
          <w:szCs w:val="21"/>
        </w:rPr>
        <w:t>其中</w:t>
      </w:r>
      <w:r w:rsidR="00000000">
        <w:rPr>
          <w:bCs/>
          <w:szCs w:val="21"/>
        </w:rPr>
        <w:t>W</w:t>
      </w:r>
      <w:r w:rsidR="00000000">
        <w:rPr>
          <w:rFonts w:hint="eastAsia"/>
          <w:bCs/>
          <w:szCs w:val="21"/>
        </w:rPr>
        <w:t>为逸出功，</w:t>
      </w:r>
      <w:r w:rsidR="00000000">
        <w:rPr>
          <w:bCs/>
          <w:szCs w:val="21"/>
        </w:rPr>
        <w:t>h</w:t>
      </w:r>
      <w:r w:rsidR="00000000">
        <w:rPr>
          <w:rFonts w:hint="eastAsia"/>
          <w:bCs/>
          <w:szCs w:val="21"/>
        </w:rPr>
        <w:t>为普朗克常量，</w:t>
      </w:r>
      <w:r w:rsidR="00000000">
        <w:rPr>
          <w:bCs/>
          <w:szCs w:val="21"/>
        </w:rPr>
        <w:t>e</w:t>
      </w:r>
      <w:r w:rsidR="00000000">
        <w:rPr>
          <w:rFonts w:hint="eastAsia"/>
          <w:bCs/>
          <w:szCs w:val="21"/>
        </w:rPr>
        <w:t>为电子电量</w:t>
      </w:r>
      <w:r w:rsidR="00000000">
        <w:rPr>
          <w:bCs/>
          <w:szCs w:val="21"/>
        </w:rPr>
        <w:t>)</w:t>
      </w:r>
    </w:p>
    <w:p w:rsidR="00EA5999" w:rsidRDefault="00000000">
      <w:pPr>
        <w:widowControl/>
        <w:tabs>
          <w:tab w:val="left" w:pos="4620"/>
        </w:tabs>
        <w:snapToGrid w:val="0"/>
        <w:spacing w:line="312" w:lineRule="auto"/>
        <w:rPr>
          <w:bCs/>
          <w:szCs w:val="21"/>
        </w:rPr>
      </w:pPr>
      <w:r>
        <w:rPr>
          <w:bCs/>
          <w:szCs w:val="21"/>
        </w:rPr>
        <w:t>A</w:t>
      </w:r>
      <w:r>
        <w:rPr>
          <w:rFonts w:hint="eastAsia"/>
          <w:bCs/>
          <w:szCs w:val="21"/>
        </w:rPr>
        <w:t>．</w:t>
      </w:r>
      <w:r>
        <w:rPr>
          <w:bCs/>
          <w:i/>
          <w:szCs w:val="21"/>
        </w:rPr>
        <w:t>U</w:t>
      </w:r>
      <w:r>
        <w:rPr>
          <w:rFonts w:hint="eastAsia"/>
          <w:bCs/>
          <w:szCs w:val="21"/>
        </w:rPr>
        <w:t>＝</w:t>
      </w:r>
      <w:r>
        <w:rPr>
          <w:rFonts w:ascii="宋体-方正超大字符集" w:eastAsia="宋体-方正超大字符集" w:hAnsi="宋体-方正超大字符集" w:cs="宋体-方正超大字符集" w:hint="eastAsia"/>
          <w:bCs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bCs/>
          <w:szCs w:val="21"/>
        </w:rPr>
        <w:instrText>eq \</w:instrText>
      </w:r>
      <w:r>
        <w:rPr>
          <w:bCs/>
          <w:szCs w:val="21"/>
        </w:rPr>
        <w:instrText>f(</w:instrText>
      </w:r>
      <w:r>
        <w:rPr>
          <w:bCs/>
          <w:i/>
          <w:szCs w:val="21"/>
        </w:rPr>
        <w:instrText>hν</w:instrText>
      </w:r>
      <w:r>
        <w:rPr>
          <w:bCs/>
          <w:szCs w:val="21"/>
        </w:rPr>
        <w:instrText>,</w:instrText>
      </w:r>
      <w:r>
        <w:rPr>
          <w:bCs/>
          <w:i/>
          <w:szCs w:val="21"/>
        </w:rPr>
        <w:instrText>e</w:instrText>
      </w:r>
      <w:r>
        <w:rPr>
          <w:bCs/>
          <w:szCs w:val="21"/>
        </w:rPr>
        <w:instrText>)</w:instrText>
      </w:r>
      <w:r>
        <w:rPr>
          <w:rFonts w:ascii="宋体-方正超大字符集" w:eastAsia="宋体-方正超大字符集" w:hAnsi="宋体-方正超大字符集" w:cs="宋体-方正超大字符集"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－</w:t>
      </w:r>
      <w:r>
        <w:rPr>
          <w:rFonts w:ascii="宋体-方正超大字符集" w:eastAsia="宋体-方正超大字符集" w:hAnsi="宋体-方正超大字符集" w:cs="宋体-方正超大字符集" w:hint="eastAsia"/>
          <w:bCs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bCs/>
          <w:szCs w:val="21"/>
        </w:rPr>
        <w:instrText>eq \</w:instrText>
      </w:r>
      <w:r>
        <w:rPr>
          <w:bCs/>
          <w:szCs w:val="21"/>
        </w:rPr>
        <w:instrText>f(</w:instrText>
      </w:r>
      <w:r>
        <w:rPr>
          <w:bCs/>
          <w:i/>
          <w:szCs w:val="21"/>
        </w:rPr>
        <w:instrText>W</w:instrText>
      </w:r>
      <w:r>
        <w:rPr>
          <w:bCs/>
          <w:szCs w:val="21"/>
        </w:rPr>
        <w:instrText>,</w:instrText>
      </w:r>
      <w:r>
        <w:rPr>
          <w:bCs/>
          <w:i/>
          <w:szCs w:val="21"/>
        </w:rPr>
        <w:instrText>e</w:instrText>
      </w:r>
      <w:r>
        <w:rPr>
          <w:bCs/>
          <w:szCs w:val="21"/>
        </w:rPr>
        <w:instrText>)</w:instrText>
      </w:r>
      <w:r>
        <w:rPr>
          <w:rFonts w:ascii="宋体-方正超大字符集" w:eastAsia="宋体-方正超大字符集" w:hAnsi="宋体-方正超大字符集" w:cs="宋体-方正超大字符集" w:hint="eastAsia"/>
          <w:bCs/>
          <w:szCs w:val="21"/>
        </w:rPr>
        <w:fldChar w:fldCharType="end"/>
      </w:r>
      <w:r>
        <w:rPr>
          <w:bCs/>
          <w:szCs w:val="21"/>
        </w:rPr>
        <w:t xml:space="preserve">          B</w:t>
      </w:r>
      <w:r>
        <w:rPr>
          <w:rFonts w:hint="eastAsia"/>
          <w:bCs/>
          <w:szCs w:val="21"/>
        </w:rPr>
        <w:t>．</w:t>
      </w:r>
      <w:r>
        <w:rPr>
          <w:bCs/>
          <w:szCs w:val="21"/>
        </w:rPr>
        <w:t>U</w:t>
      </w:r>
      <w:r>
        <w:rPr>
          <w:rFonts w:hint="eastAsia"/>
          <w:bCs/>
          <w:szCs w:val="21"/>
        </w:rPr>
        <w:t>＝</w:t>
      </w:r>
      <w:r>
        <w:rPr>
          <w:rFonts w:ascii="宋体-方正超大字符集" w:eastAsia="宋体-方正超大字符集" w:hAnsi="宋体-方正超大字符集" w:cs="宋体-方正超大字符集" w:hint="eastAsia"/>
          <w:bCs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bCs/>
          <w:szCs w:val="21"/>
        </w:rPr>
        <w:instrText>eq \</w:instrText>
      </w:r>
      <w:r>
        <w:rPr>
          <w:bCs/>
          <w:szCs w:val="21"/>
        </w:rPr>
        <w:instrText>f(</w:instrText>
      </w:r>
      <w:r>
        <w:rPr>
          <w:bCs/>
          <w:i/>
          <w:szCs w:val="21"/>
        </w:rPr>
        <w:instrText>2hν,e</w:instrText>
      </w:r>
      <w:r>
        <w:rPr>
          <w:bCs/>
          <w:szCs w:val="21"/>
        </w:rPr>
        <w:instrText>)</w:instrText>
      </w:r>
      <w:r>
        <w:rPr>
          <w:rFonts w:ascii="宋体-方正超大字符集" w:eastAsia="宋体-方正超大字符集" w:hAnsi="宋体-方正超大字符集" w:cs="宋体-方正超大字符集"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－</w:t>
      </w:r>
      <w:r>
        <w:rPr>
          <w:rFonts w:ascii="宋体-方正超大字符集" w:eastAsia="宋体-方正超大字符集" w:hAnsi="宋体-方正超大字符集" w:cs="宋体-方正超大字符集" w:hint="eastAsia"/>
          <w:bCs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bCs/>
          <w:szCs w:val="21"/>
        </w:rPr>
        <w:instrText>eq \</w:instrText>
      </w:r>
      <w:r>
        <w:rPr>
          <w:bCs/>
          <w:szCs w:val="21"/>
        </w:rPr>
        <w:instrText>f(</w:instrText>
      </w:r>
      <w:r>
        <w:rPr>
          <w:bCs/>
          <w:i/>
          <w:szCs w:val="21"/>
        </w:rPr>
        <w:instrText>W</w:instrText>
      </w:r>
      <w:r>
        <w:rPr>
          <w:bCs/>
          <w:szCs w:val="21"/>
        </w:rPr>
        <w:instrText>,</w:instrText>
      </w:r>
      <w:r>
        <w:rPr>
          <w:bCs/>
          <w:i/>
          <w:szCs w:val="21"/>
        </w:rPr>
        <w:instrText>e</w:instrText>
      </w:r>
      <w:r>
        <w:rPr>
          <w:bCs/>
          <w:szCs w:val="21"/>
        </w:rPr>
        <w:instrText>)</w:instrText>
      </w:r>
      <w:r>
        <w:rPr>
          <w:rFonts w:ascii="宋体-方正超大字符集" w:eastAsia="宋体-方正超大字符集" w:hAnsi="宋体-方正超大字符集" w:cs="宋体-方正超大字符集" w:hint="eastAsia"/>
          <w:bCs/>
          <w:szCs w:val="21"/>
        </w:rPr>
        <w:fldChar w:fldCharType="end"/>
      </w:r>
    </w:p>
    <w:p w:rsidR="00EA5999" w:rsidRDefault="00000000">
      <w:pPr>
        <w:widowControl/>
        <w:tabs>
          <w:tab w:val="left" w:pos="4620"/>
        </w:tabs>
        <w:snapToGrid w:val="0"/>
        <w:spacing w:line="312" w:lineRule="auto"/>
        <w:rPr>
          <w:bCs/>
          <w:szCs w:val="21"/>
        </w:rPr>
      </w:pPr>
      <w:r>
        <w:rPr>
          <w:bCs/>
          <w:szCs w:val="21"/>
        </w:rPr>
        <w:t>C</w:t>
      </w:r>
      <w:r>
        <w:rPr>
          <w:rFonts w:hint="eastAsia"/>
          <w:bCs/>
          <w:szCs w:val="21"/>
        </w:rPr>
        <w:t>．</w:t>
      </w:r>
      <w:r>
        <w:rPr>
          <w:bCs/>
          <w:szCs w:val="21"/>
        </w:rPr>
        <w:t>U</w:t>
      </w:r>
      <w:r>
        <w:rPr>
          <w:rFonts w:hint="eastAsia"/>
          <w:bCs/>
          <w:szCs w:val="21"/>
        </w:rPr>
        <w:t>＝</w:t>
      </w:r>
      <w:r>
        <w:rPr>
          <w:bCs/>
          <w:szCs w:val="21"/>
        </w:rPr>
        <w:t>2</w:t>
      </w:r>
      <w:r>
        <w:rPr>
          <w:bCs/>
          <w:i/>
          <w:szCs w:val="21"/>
        </w:rPr>
        <w:t>hν</w:t>
      </w:r>
      <w:r>
        <w:rPr>
          <w:rFonts w:hint="eastAsia"/>
          <w:bCs/>
          <w:szCs w:val="21"/>
        </w:rPr>
        <w:t>－</w:t>
      </w:r>
      <w:r>
        <w:rPr>
          <w:bCs/>
          <w:szCs w:val="21"/>
        </w:rPr>
        <w:t>W        D</w:t>
      </w:r>
      <w:r>
        <w:rPr>
          <w:rFonts w:hint="eastAsia"/>
          <w:bCs/>
          <w:szCs w:val="21"/>
        </w:rPr>
        <w:t>．</w:t>
      </w:r>
      <w:r>
        <w:rPr>
          <w:bCs/>
          <w:szCs w:val="21"/>
        </w:rPr>
        <w:t>U</w:t>
      </w:r>
      <w:r>
        <w:rPr>
          <w:rFonts w:hint="eastAsia"/>
          <w:bCs/>
          <w:szCs w:val="21"/>
        </w:rPr>
        <w:t>＝</w:t>
      </w:r>
      <w:r>
        <w:rPr>
          <w:rFonts w:ascii="宋体-方正超大字符集" w:eastAsia="宋体-方正超大字符集" w:hAnsi="宋体-方正超大字符集" w:cs="宋体-方正超大字符集" w:hint="eastAsia"/>
          <w:bCs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bCs/>
          <w:szCs w:val="21"/>
        </w:rPr>
        <w:instrText>eq \</w:instrText>
      </w:r>
      <w:r>
        <w:rPr>
          <w:bCs/>
          <w:szCs w:val="21"/>
        </w:rPr>
        <w:instrText>f(</w:instrText>
      </w:r>
      <w:r>
        <w:rPr>
          <w:bCs/>
          <w:i/>
          <w:szCs w:val="21"/>
        </w:rPr>
        <w:instrText>5hν</w:instrText>
      </w:r>
      <w:r>
        <w:rPr>
          <w:bCs/>
          <w:szCs w:val="21"/>
        </w:rPr>
        <w:instrText>,</w:instrText>
      </w:r>
      <w:r>
        <w:rPr>
          <w:bCs/>
          <w:i/>
          <w:szCs w:val="21"/>
        </w:rPr>
        <w:instrText>2e</w:instrText>
      </w:r>
      <w:r>
        <w:rPr>
          <w:bCs/>
          <w:szCs w:val="21"/>
        </w:rPr>
        <w:instrText>)</w:instrText>
      </w:r>
      <w:r>
        <w:rPr>
          <w:rFonts w:ascii="宋体-方正超大字符集" w:eastAsia="宋体-方正超大字符集" w:hAnsi="宋体-方正超大字符集" w:cs="宋体-方正超大字符集"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－</w:t>
      </w:r>
      <w:r>
        <w:rPr>
          <w:rFonts w:ascii="宋体-方正超大字符集" w:eastAsia="宋体-方正超大字符集" w:hAnsi="宋体-方正超大字符集" w:cs="宋体-方正超大字符集" w:hint="eastAsia"/>
          <w:bCs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bCs/>
          <w:szCs w:val="21"/>
        </w:rPr>
        <w:instrText>eq \</w:instrText>
      </w:r>
      <w:r>
        <w:rPr>
          <w:bCs/>
          <w:szCs w:val="21"/>
        </w:rPr>
        <w:instrText>f(</w:instrText>
      </w:r>
      <w:r>
        <w:rPr>
          <w:bCs/>
          <w:i/>
          <w:szCs w:val="21"/>
        </w:rPr>
        <w:instrText>W</w:instrText>
      </w:r>
      <w:r>
        <w:rPr>
          <w:bCs/>
          <w:szCs w:val="21"/>
        </w:rPr>
        <w:instrText>,</w:instrText>
      </w:r>
      <w:r>
        <w:rPr>
          <w:bCs/>
          <w:i/>
          <w:szCs w:val="21"/>
        </w:rPr>
        <w:instrText>e</w:instrText>
      </w:r>
      <w:r>
        <w:rPr>
          <w:bCs/>
          <w:szCs w:val="21"/>
        </w:rPr>
        <w:instrText>)</w:instrText>
      </w:r>
      <w:r>
        <w:rPr>
          <w:rFonts w:ascii="宋体-方正超大字符集" w:eastAsia="宋体-方正超大字符集" w:hAnsi="宋体-方正超大字符集" w:cs="宋体-方正超大字符集" w:hint="eastAsia"/>
          <w:bCs/>
          <w:szCs w:val="21"/>
        </w:rPr>
        <w:fldChar w:fldCharType="end"/>
      </w:r>
    </w:p>
    <w:p w:rsidR="00054542" w:rsidRDefault="00054542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</w:rPr>
      </w:pPr>
    </w:p>
    <w:p w:rsidR="00EA5999" w:rsidRDefault="00000000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宋体"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4166235</wp:posOffset>
            </wp:positionH>
            <wp:positionV relativeFrom="paragraph">
              <wp:posOffset>712470</wp:posOffset>
            </wp:positionV>
            <wp:extent cx="1943100" cy="952500"/>
            <wp:effectExtent l="0" t="0" r="0" b="0"/>
            <wp:wrapSquare wrapText="bothSides"/>
            <wp:docPr id="15" name="图片 15" descr="W14-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W14-10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Ansi="宋体" w:cs="宋体" w:hint="eastAsia"/>
        </w:rPr>
        <w:t>例2.</w:t>
      </w:r>
      <w:r>
        <w:rPr>
          <w:rFonts w:ascii="Times New Roman" w:hAnsi="Times New Roman" w:cs="Times New Roman"/>
        </w:rPr>
        <w:t>用如图甲所示的电路研究光电效应中光电流与照射光的强弱、频率等物理量的关系．图中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两极间的电压大小可调，电源的正负极也可以对调，分别用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三束单色光照射，调节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间的电压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，得到光电流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与电压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的关系如图乙所示，由图可知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A5999" w:rsidRDefault="00000000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．单色光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的频率相同，且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光更弱些，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光频率最大</w:t>
      </w:r>
    </w:p>
    <w:p w:rsidR="00EA5999" w:rsidRDefault="00000000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．单色光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的频率相同，且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光更强些，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光频率最大</w:t>
      </w:r>
    </w:p>
    <w:p w:rsidR="00EA5999" w:rsidRDefault="00000000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．单色光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的频率相同，且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光更弱些，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光频率最小</w:t>
      </w:r>
    </w:p>
    <w:p w:rsidR="00EA5999" w:rsidRDefault="00000000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．单色光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的频率不同，且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光更强些，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光频率最小</w:t>
      </w:r>
    </w:p>
    <w:p w:rsidR="00EA5999" w:rsidRDefault="00EA5999">
      <w:pPr>
        <w:pStyle w:val="a3"/>
        <w:tabs>
          <w:tab w:val="left" w:pos="4680"/>
        </w:tabs>
        <w:snapToGrid w:val="0"/>
        <w:ind w:firstLineChars="200" w:firstLine="420"/>
        <w:jc w:val="left"/>
        <w:rPr>
          <w:rFonts w:ascii="Times New Roman" w:eastAsia="黑体" w:hAnsi="Times New Roman" w:cs="Times New Roman"/>
          <w:lang w:val="pl-PL"/>
        </w:rPr>
      </w:pPr>
    </w:p>
    <w:p w:rsidR="00EA5999" w:rsidRDefault="00000000">
      <w:pPr>
        <w:pStyle w:val="a3"/>
        <w:tabs>
          <w:tab w:val="left" w:pos="4680"/>
        </w:tabs>
        <w:snapToGrid w:val="0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hAnsi="宋体" w:cs="宋体"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4585335</wp:posOffset>
            </wp:positionH>
            <wp:positionV relativeFrom="paragraph">
              <wp:posOffset>124460</wp:posOffset>
            </wp:positionV>
            <wp:extent cx="1362075" cy="1438275"/>
            <wp:effectExtent l="0" t="0" r="9525" b="9525"/>
            <wp:wrapSquare wrapText="bothSides"/>
            <wp:docPr id="1" name="图片 4" descr="W14-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W14-3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隶书" w:hAnsi="Times New Roman" w:cs="Times New Roman"/>
        </w:rPr>
        <w:t>考点</w:t>
      </w:r>
      <w:r>
        <w:rPr>
          <w:rFonts w:ascii="Times New Roman" w:eastAsia="隶书" w:hAnsi="Times New Roman" w:cs="Times New Roman" w:hint="eastAsia"/>
        </w:rPr>
        <w:t>二</w:t>
      </w:r>
      <w:r>
        <w:rPr>
          <w:rFonts w:ascii="Times New Roman" w:eastAsia="隶书" w:hAnsi="Times New Roman" w:cs="Times New Roman"/>
        </w:rPr>
        <w:t xml:space="preserve">　</w:t>
      </w:r>
      <w:r>
        <w:rPr>
          <w:rFonts w:ascii="Times New Roman" w:eastAsia="隶书" w:hAnsi="Times New Roman" w:cs="Times New Roman" w:hint="eastAsia"/>
        </w:rPr>
        <w:t>光电效应及其方程</w:t>
      </w:r>
    </w:p>
    <w:p w:rsidR="00EA5999" w:rsidRDefault="00000000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宋体" w:hint="eastAsia"/>
        </w:rPr>
        <w:t>例3.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用如图所示的光电管研究光电效应的实验中，用某种频率的单色光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照射光电管阴极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，电流计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的指针发生偏转．而用另一频率的单色光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照射光电管阴极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时，电流计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的指针不发生偏转，那么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A5999" w:rsidRDefault="00000000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光的频率一定小于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光的频率</w:t>
      </w:r>
    </w:p>
    <w:p w:rsidR="00EA5999" w:rsidRDefault="00000000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．只增加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光的强度可使通过电流计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的电流增大</w:t>
      </w:r>
    </w:p>
    <w:p w:rsidR="00EA5999" w:rsidRDefault="00000000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．增加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光的强度可能使电流计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的指针发生偏转</w:t>
      </w:r>
    </w:p>
    <w:p w:rsidR="00EA5999" w:rsidRDefault="00000000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光照射光电管阴极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时通过电流计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的电流是由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c</w:t>
      </w:r>
    </w:p>
    <w:p w:rsidR="00EA5999" w:rsidRDefault="00000000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4928235</wp:posOffset>
            </wp:positionH>
            <wp:positionV relativeFrom="paragraph">
              <wp:posOffset>1202690</wp:posOffset>
            </wp:positionV>
            <wp:extent cx="800100" cy="647700"/>
            <wp:effectExtent l="0" t="0" r="0" b="0"/>
            <wp:wrapSquare wrapText="bothSides"/>
            <wp:docPr id="3" name="图片 5" descr="W14-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W14-4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Ansi="宋体" w:cs="宋体" w:hint="eastAsia"/>
        </w:rPr>
        <w:t xml:space="preserve">例4. </w:t>
      </w:r>
      <w:r>
        <w:rPr>
          <w:rFonts w:ascii="Times New Roman" w:hAnsi="Times New Roman" w:cs="Times New Roman"/>
        </w:rPr>
        <w:t>如图所示，有一束单色光入射到极限频率为</w:t>
      </w:r>
      <w:r>
        <w:rPr>
          <w:rFonts w:ascii="Times New Roman" w:hAnsi="Times New Roman" w:cs="Times New Roman"/>
          <w:i/>
        </w:rPr>
        <w:t>ν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的金属板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上，具有最大初动能的某出射电子，沿垂直于平行板电容器极板的方向，从左侧极板上的小孔入射到两极板间的匀强电场后，到达右侧极板时速度刚好为零．已知电容器的电容为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，带电荷量为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，极板间距为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，普朗克常量为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，电子电荷量的绝对值为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，不计电子的重力．关于电容器右侧极板的带电情况和入射光的频率</w:t>
      </w:r>
      <w:r>
        <w:rPr>
          <w:rFonts w:ascii="Times New Roman" w:hAnsi="Times New Roman" w:cs="Times New Roman"/>
          <w:i/>
        </w:rPr>
        <w:t>ν</w:t>
      </w:r>
      <w:r>
        <w:rPr>
          <w:rFonts w:ascii="Times New Roman" w:hAnsi="Times New Roman" w:cs="Times New Roman"/>
        </w:rPr>
        <w:t>，以下判断正确的是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A5999" w:rsidRDefault="00000000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．带正电，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ν</w:instrText>
      </w:r>
      <w:r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  <w:i/>
        </w:rPr>
        <w:instrText>Qe,Ch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　　　　　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．带正电，</w:t>
      </w:r>
      <w:r>
        <w:rPr>
          <w:rFonts w:ascii="Times New Roman" w:hAnsi="Times New Roman" w:cs="Times New Roman"/>
          <w:i/>
        </w:rPr>
        <w:t>ν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Qe,Chd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EA5999" w:rsidRDefault="00000000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．带负电，</w:t>
      </w:r>
      <w:r>
        <w:rPr>
          <w:rFonts w:ascii="Times New Roman" w:hAnsi="Times New Roman" w:cs="Times New Roman"/>
          <w:i/>
        </w:rPr>
        <w:t>ν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Qe,Ch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．带负电，</w:t>
      </w:r>
      <w:r>
        <w:rPr>
          <w:rFonts w:ascii="Times New Roman" w:hAnsi="Times New Roman" w:cs="Times New Roman"/>
          <w:i/>
        </w:rPr>
        <w:t>ν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Qe,Chd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EA5999" w:rsidRDefault="00EA5999">
      <w:pPr>
        <w:pStyle w:val="a3"/>
        <w:tabs>
          <w:tab w:val="left" w:pos="4680"/>
        </w:tabs>
        <w:snapToGrid w:val="0"/>
        <w:spacing w:line="360" w:lineRule="auto"/>
        <w:rPr>
          <w:rFonts w:ascii="Times New Roman" w:eastAsia="隶书" w:hAnsi="Times New Roman" w:cs="Times New Roman"/>
        </w:rPr>
      </w:pPr>
    </w:p>
    <w:p w:rsidR="00EA5999" w:rsidRDefault="00EA5999">
      <w:pPr>
        <w:pStyle w:val="a3"/>
        <w:tabs>
          <w:tab w:val="left" w:pos="4680"/>
        </w:tabs>
        <w:snapToGrid w:val="0"/>
        <w:ind w:firstLineChars="200" w:firstLine="420"/>
        <w:jc w:val="left"/>
        <w:rPr>
          <w:rFonts w:ascii="Times New Roman" w:eastAsia="黑体" w:hAnsi="Times New Roman" w:cs="Times New Roman"/>
        </w:rPr>
      </w:pPr>
    </w:p>
    <w:p w:rsidR="00EA5999" w:rsidRDefault="00000000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【随堂导练】</w:t>
      </w:r>
    </w:p>
    <w:p w:rsidR="00EA5999" w:rsidRDefault="00000000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．在光电效应实验中，分别用频率为</w:t>
      </w:r>
      <w:r>
        <w:rPr>
          <w:rFonts w:ascii="Times New Roman" w:hAnsi="Times New Roman" w:cs="Times New Roman"/>
          <w:i/>
        </w:rPr>
        <w:t>ν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ν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的单色光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照射到同种金属上，测得相应的遏止电压分别为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，光电子的最大初动能分别为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k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k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为普朗克常量．下列说法不正确的是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A5999" w:rsidRDefault="00000000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．若</w:t>
      </w:r>
      <w:r>
        <w:rPr>
          <w:rFonts w:ascii="Times New Roman" w:hAnsi="Times New Roman" w:cs="Times New Roman"/>
          <w:i/>
        </w:rPr>
        <w:t>ν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t>ν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，则一定有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i/>
          <w:vertAlign w:val="subscript"/>
        </w:rPr>
        <w:t>b</w:t>
      </w:r>
    </w:p>
    <w:p w:rsidR="00EA5999" w:rsidRDefault="00000000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．若</w:t>
      </w:r>
      <w:r>
        <w:rPr>
          <w:rFonts w:ascii="Times New Roman" w:hAnsi="Times New Roman" w:cs="Times New Roman"/>
          <w:i/>
        </w:rPr>
        <w:t>ν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t>ν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，则一定有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k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k</w:t>
      </w:r>
      <w:r>
        <w:rPr>
          <w:rFonts w:ascii="Times New Roman" w:hAnsi="Times New Roman" w:cs="Times New Roman"/>
          <w:i/>
          <w:vertAlign w:val="subscript"/>
        </w:rPr>
        <w:t>b</w:t>
      </w:r>
    </w:p>
    <w:p w:rsidR="00EA5999" w:rsidRDefault="00000000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i/>
          <w:vertAlign w:val="subscript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．若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，则一定有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k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k</w:t>
      </w:r>
      <w:r>
        <w:rPr>
          <w:rFonts w:ascii="Times New Roman" w:hAnsi="Times New Roman" w:cs="Times New Roman"/>
          <w:i/>
          <w:vertAlign w:val="subscript"/>
        </w:rPr>
        <w:t>b</w:t>
      </w:r>
    </w:p>
    <w:p w:rsidR="00EA5999" w:rsidRDefault="00000000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．若</w:t>
      </w:r>
      <w:r>
        <w:rPr>
          <w:rFonts w:ascii="Times New Roman" w:hAnsi="Times New Roman" w:cs="Times New Roman"/>
          <w:i/>
        </w:rPr>
        <w:t>ν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t>ν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，则一定有</w:t>
      </w:r>
      <w:r>
        <w:rPr>
          <w:rFonts w:ascii="Times New Roman" w:hAnsi="Times New Roman" w:cs="Times New Roman"/>
          <w:i/>
        </w:rPr>
        <w:t>hν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k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hν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k</w:t>
      </w:r>
      <w:r>
        <w:rPr>
          <w:rFonts w:ascii="Times New Roman" w:hAnsi="Times New Roman" w:cs="Times New Roman"/>
          <w:i/>
          <w:vertAlign w:val="subscript"/>
        </w:rPr>
        <w:t>b</w:t>
      </w:r>
    </w:p>
    <w:p w:rsidR="00EA5999" w:rsidRDefault="00EA5999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EA5999" w:rsidRDefault="00000000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4528185</wp:posOffset>
            </wp:positionH>
            <wp:positionV relativeFrom="paragraph">
              <wp:posOffset>509905</wp:posOffset>
            </wp:positionV>
            <wp:extent cx="904875" cy="828675"/>
            <wp:effectExtent l="0" t="0" r="9525" b="9525"/>
            <wp:wrapSquare wrapText="bothSides"/>
            <wp:docPr id="2" name="图片 2" descr="W14-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14-11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．金属在光的照射下产生光电效应，其遏止电压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c</w:t>
      </w:r>
      <w:r>
        <w:rPr>
          <w:rFonts w:ascii="Times New Roman" w:hAnsi="Times New Roman" w:cs="Times New Roman"/>
        </w:rPr>
        <w:t>与入射光频率</w:t>
      </w:r>
      <w:r>
        <w:rPr>
          <w:rFonts w:ascii="Times New Roman" w:hAnsi="Times New Roman" w:cs="Times New Roman"/>
          <w:i/>
        </w:rPr>
        <w:t>ν</w:t>
      </w:r>
      <w:r>
        <w:rPr>
          <w:rFonts w:ascii="Times New Roman" w:hAnsi="Times New Roman" w:cs="Times New Roman"/>
        </w:rPr>
        <w:t>的关系图象如图所示．则由图象可知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A5999" w:rsidRDefault="00000000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．入射光频率越大，该金属的逸出功越大</w:t>
      </w:r>
    </w:p>
    <w:p w:rsidR="00EA5999" w:rsidRDefault="00000000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．入射光的频率越大，则遏止电压越大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ν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ν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)</w:t>
      </w:r>
    </w:p>
    <w:p w:rsidR="00EA5999" w:rsidRDefault="00000000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．由图可求出普朗克常量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U,ν</w:instrText>
      </w:r>
      <w:r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EA5999" w:rsidRDefault="00000000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．光电子的最大初动能与入射光的频率成正比</w:t>
      </w:r>
    </w:p>
    <w:p w:rsidR="00EA5999" w:rsidRDefault="00EA5999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</w:p>
    <w:p w:rsidR="00EA5999" w:rsidRDefault="00000000">
      <w:pPr>
        <w:widowControl/>
        <w:spacing w:line="278" w:lineRule="atLeast"/>
        <w:jc w:val="left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【导思总结】</w:t>
      </w:r>
    </w:p>
    <w:p w:rsidR="00EA5999" w:rsidRDefault="00000000">
      <w:pPr>
        <w:pStyle w:val="a3"/>
        <w:tabs>
          <w:tab w:val="left" w:pos="4680"/>
        </w:tabs>
        <w:snapToGrid w:val="0"/>
        <w:spacing w:line="360" w:lineRule="auto"/>
        <w:ind w:firstLineChars="200" w:firstLine="422"/>
        <w:rPr>
          <w:rFonts w:ascii="Times New Roman" w:eastAsia="隶书" w:hAnsi="Times New Roman" w:cs="Times New Roman"/>
        </w:rPr>
      </w:pPr>
      <w:r>
        <w:rPr>
          <w:rFonts w:hAnsi="宋体" w:cs="宋体" w:hint="eastAsia"/>
          <w:b/>
          <w:bCs/>
        </w:rPr>
        <w:t>1、</w:t>
      </w:r>
      <w:r>
        <w:rPr>
          <w:rFonts w:ascii="Times New Roman" w:eastAsia="黑体" w:hAnsi="Times New Roman" w:cs="Times New Roman"/>
        </w:rPr>
        <w:t>对光电效应现象的理解</w:t>
      </w:r>
    </w:p>
    <w:p w:rsidR="00EA5999" w:rsidRDefault="00000000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2</w:t>
      </w:r>
      <w:r>
        <w:rPr>
          <w:rFonts w:ascii="Times New Roman" w:eastAsia="黑体" w:hAnsi="Times New Roman" w:cs="Times New Roman" w:hint="eastAsia"/>
        </w:rPr>
        <w:t>、</w:t>
      </w:r>
      <w:r>
        <w:rPr>
          <w:rFonts w:ascii="Times New Roman" w:eastAsia="黑体" w:hAnsi="Times New Roman" w:cs="Times New Roman"/>
        </w:rPr>
        <w:t>应用光电效应方程时的注意事项</w:t>
      </w:r>
    </w:p>
    <w:p w:rsidR="00EA5999" w:rsidRDefault="00000000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(1)</w:t>
      </w:r>
      <w:r>
        <w:rPr>
          <w:rFonts w:ascii="Times New Roman" w:eastAsia="仿宋_GB2312" w:hAnsi="Times New Roman" w:cs="Times New Roman"/>
        </w:rPr>
        <w:t>每种金属都有一个</w:t>
      </w:r>
      <w:r>
        <w:rPr>
          <w:rFonts w:ascii="Times New Roman" w:eastAsia="仿宋_GB2312" w:hAnsi="Times New Roman" w:cs="Times New Roman" w:hint="eastAsia"/>
        </w:rPr>
        <w:t>极限频率</w:t>
      </w:r>
      <w:r>
        <w:rPr>
          <w:rFonts w:ascii="Times New Roman" w:eastAsia="仿宋_GB2312" w:hAnsi="Times New Roman" w:cs="Times New Roman"/>
        </w:rPr>
        <w:t>，入射光频率</w:t>
      </w:r>
      <w:r>
        <w:rPr>
          <w:rFonts w:ascii="Times New Roman" w:eastAsia="仿宋_GB2312" w:hAnsi="Times New Roman" w:cs="Times New Roman" w:hint="eastAsia"/>
        </w:rPr>
        <w:t>大于</w:t>
      </w:r>
      <w:r>
        <w:rPr>
          <w:rFonts w:ascii="Times New Roman" w:eastAsia="仿宋_GB2312" w:hAnsi="Times New Roman" w:cs="Times New Roman"/>
        </w:rPr>
        <w:t>这个截止频率时才能发生光电效应．</w:t>
      </w:r>
    </w:p>
    <w:p w:rsidR="00EA5999" w:rsidRDefault="00000000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仿宋_GB2312" w:hAnsi="Times New Roman" w:cs="Times New Roman"/>
          <w:u w:val="single"/>
        </w:rPr>
      </w:pPr>
      <w:r>
        <w:rPr>
          <w:rFonts w:ascii="Times New Roman" w:eastAsia="仿宋_GB2312" w:hAnsi="Times New Roman" w:cs="Times New Roman"/>
        </w:rPr>
        <w:t>(2)</w:t>
      </w:r>
      <w:r>
        <w:rPr>
          <w:rFonts w:ascii="Times New Roman" w:eastAsia="仿宋_GB2312" w:hAnsi="Times New Roman" w:cs="Times New Roman"/>
        </w:rPr>
        <w:t>截止频率对应着光的极限波长和金属的逸出功，即</w:t>
      </w:r>
      <w:r>
        <w:rPr>
          <w:rFonts w:ascii="Times New Roman" w:eastAsia="仿宋_GB2312" w:hAnsi="Times New Roman" w:cs="Times New Roman"/>
          <w:i/>
        </w:rPr>
        <w:t>hν</w:t>
      </w:r>
      <w:r>
        <w:rPr>
          <w:rFonts w:ascii="Times New Roman" w:eastAsia="仿宋_GB2312" w:hAnsi="Times New Roman" w:cs="Times New Roman"/>
          <w:vertAlign w:val="subscript"/>
        </w:rPr>
        <w:t>c</w:t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 w:hint="eastAsia"/>
          <w:i/>
        </w:rPr>
        <w:t>w</w:t>
      </w:r>
      <w:r>
        <w:rPr>
          <w:rFonts w:ascii="Times New Roman" w:eastAsia="仿宋_GB2312" w:hAnsi="Times New Roman" w:cs="Times New Roman" w:hint="eastAsia"/>
          <w:i/>
          <w:vertAlign w:val="subscript"/>
        </w:rPr>
        <w:t>0</w:t>
      </w:r>
      <w:r>
        <w:rPr>
          <w:rFonts w:ascii="Times New Roman" w:eastAsia="仿宋_GB2312" w:hAnsi="Times New Roman" w:cs="Times New Roman"/>
        </w:rPr>
        <w:t>．</w:t>
      </w:r>
    </w:p>
    <w:p w:rsidR="00EA5999" w:rsidRDefault="00EA5999"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 w:rsidR="00EA5999" w:rsidRDefault="00000000">
      <w:pPr>
        <w:widowControl/>
        <w:spacing w:line="278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【导学感悟】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本节课你学到了什么？</w:t>
      </w:r>
    </w:p>
    <w:p w:rsidR="00EA5999" w:rsidRDefault="00000000"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_________________________________________________________________________________________</w:t>
      </w:r>
    </w:p>
    <w:p w:rsidR="00EA5999" w:rsidRDefault="00EA5999">
      <w:pPr>
        <w:pStyle w:val="a3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</w:rPr>
      </w:pPr>
    </w:p>
    <w:p w:rsidR="00EA5999" w:rsidRDefault="00EA5999">
      <w:pPr>
        <w:pStyle w:val="a3"/>
        <w:tabs>
          <w:tab w:val="left" w:pos="4680"/>
        </w:tabs>
        <w:snapToGrid w:val="0"/>
        <w:jc w:val="left"/>
        <w:rPr>
          <w:rFonts w:hAnsi="宋体" w:cs="宋体"/>
          <w:b/>
          <w:bCs/>
        </w:rPr>
      </w:pPr>
    </w:p>
    <w:p w:rsidR="00EA5999" w:rsidRDefault="00000000"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【导练巩固】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补充《二轮配套热练》</w:t>
      </w:r>
    </w:p>
    <w:p w:rsidR="00EA5999" w:rsidRDefault="00EA5999"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</w:p>
    <w:sectPr w:rsidR="00EA599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c0YzU0NTJhNDQxNzg0M2Y4MDgwOWU5ZmQ2MzI1MDAifQ=="/>
  </w:docVars>
  <w:rsids>
    <w:rsidRoot w:val="00172A27"/>
    <w:rsid w:val="00001B6E"/>
    <w:rsid w:val="0000561A"/>
    <w:rsid w:val="000244BF"/>
    <w:rsid w:val="000366C4"/>
    <w:rsid w:val="0004445F"/>
    <w:rsid w:val="00054542"/>
    <w:rsid w:val="00063AA9"/>
    <w:rsid w:val="00067E5C"/>
    <w:rsid w:val="00073336"/>
    <w:rsid w:val="00091C19"/>
    <w:rsid w:val="00104C61"/>
    <w:rsid w:val="001322E7"/>
    <w:rsid w:val="00172A27"/>
    <w:rsid w:val="00197D8F"/>
    <w:rsid w:val="001C7D11"/>
    <w:rsid w:val="001E7F51"/>
    <w:rsid w:val="0021505E"/>
    <w:rsid w:val="00233A2B"/>
    <w:rsid w:val="00236586"/>
    <w:rsid w:val="003671BF"/>
    <w:rsid w:val="003A5FC5"/>
    <w:rsid w:val="0045526F"/>
    <w:rsid w:val="00465D01"/>
    <w:rsid w:val="00474E40"/>
    <w:rsid w:val="00491013"/>
    <w:rsid w:val="004A26FD"/>
    <w:rsid w:val="004D10A3"/>
    <w:rsid w:val="005048DD"/>
    <w:rsid w:val="005A261D"/>
    <w:rsid w:val="005A41B0"/>
    <w:rsid w:val="005A6E32"/>
    <w:rsid w:val="005D4D01"/>
    <w:rsid w:val="005E7A79"/>
    <w:rsid w:val="00622A28"/>
    <w:rsid w:val="006A0F77"/>
    <w:rsid w:val="006C3EA7"/>
    <w:rsid w:val="0070528B"/>
    <w:rsid w:val="00711298"/>
    <w:rsid w:val="00741980"/>
    <w:rsid w:val="007568DE"/>
    <w:rsid w:val="007E5FA0"/>
    <w:rsid w:val="00811938"/>
    <w:rsid w:val="0084069E"/>
    <w:rsid w:val="008A4BC5"/>
    <w:rsid w:val="00933890"/>
    <w:rsid w:val="00936371"/>
    <w:rsid w:val="0099368D"/>
    <w:rsid w:val="009A5BB4"/>
    <w:rsid w:val="009D7082"/>
    <w:rsid w:val="00A0465F"/>
    <w:rsid w:val="00A31343"/>
    <w:rsid w:val="00A7378A"/>
    <w:rsid w:val="00A750E1"/>
    <w:rsid w:val="00AC1303"/>
    <w:rsid w:val="00AE7E92"/>
    <w:rsid w:val="00B40014"/>
    <w:rsid w:val="00B4655F"/>
    <w:rsid w:val="00BA3694"/>
    <w:rsid w:val="00BC29EF"/>
    <w:rsid w:val="00BD0FF1"/>
    <w:rsid w:val="00C104C4"/>
    <w:rsid w:val="00C77CB3"/>
    <w:rsid w:val="00C92C02"/>
    <w:rsid w:val="00CD16D5"/>
    <w:rsid w:val="00CE4AAB"/>
    <w:rsid w:val="00CE799F"/>
    <w:rsid w:val="00D1130F"/>
    <w:rsid w:val="00D35A53"/>
    <w:rsid w:val="00D60B91"/>
    <w:rsid w:val="00DA01C5"/>
    <w:rsid w:val="00DA2811"/>
    <w:rsid w:val="00DA5136"/>
    <w:rsid w:val="00DC52B4"/>
    <w:rsid w:val="00DC6BE6"/>
    <w:rsid w:val="00DD09B4"/>
    <w:rsid w:val="00DE6FB6"/>
    <w:rsid w:val="00E24964"/>
    <w:rsid w:val="00E47640"/>
    <w:rsid w:val="00E604A3"/>
    <w:rsid w:val="00E62EE0"/>
    <w:rsid w:val="00EA5999"/>
    <w:rsid w:val="00EB5286"/>
    <w:rsid w:val="00F032C9"/>
    <w:rsid w:val="00F30AB8"/>
    <w:rsid w:val="00F87AC3"/>
    <w:rsid w:val="07FE159B"/>
    <w:rsid w:val="0B097880"/>
    <w:rsid w:val="0F8B6771"/>
    <w:rsid w:val="17323110"/>
    <w:rsid w:val="19AB0599"/>
    <w:rsid w:val="1C7D76DB"/>
    <w:rsid w:val="2E3F00A3"/>
    <w:rsid w:val="3DEC6250"/>
    <w:rsid w:val="40FF267C"/>
    <w:rsid w:val="4E157E6D"/>
    <w:rsid w:val="509B108E"/>
    <w:rsid w:val="509B1BCB"/>
    <w:rsid w:val="5E2B20D5"/>
    <w:rsid w:val="63485072"/>
    <w:rsid w:val="645D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CC40178"/>
  <w15:docId w15:val="{9F305064-E315-4088-A6C3-37558502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a5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5">
    <w:name w:val="批注框文本 字符"/>
    <w:basedOn w:val="a0"/>
    <w:link w:val="a4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file:///I:\&#23548;&#23398;&#26696;\&#39640;&#19977;&#29289;&#29702;&#31532;&#21313;&#20845;&#21608;&#23548;&#23398;&#26696;\&#23548;&#23398;&#26696;\W14-11.TIF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I:\&#23548;&#23398;&#26696;\&#39640;&#19977;&#29289;&#29702;&#31532;&#21313;&#20845;&#21608;&#23548;&#23398;&#26696;\&#23548;&#23398;&#26696;\W14-10.TIF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file:///I:\&#23548;&#23398;&#26696;\&#39640;&#19977;&#29289;&#29702;&#31532;&#21313;&#20845;&#21608;&#23548;&#23398;&#26696;\&#23548;&#23398;&#26696;\W14-4.TIF" TargetMode="External"/><Relationship Id="rId5" Type="http://schemas.openxmlformats.org/officeDocument/2006/relationships/image" Target="file:///C:\Users\xinshengzhuren\Desktop\2020&#39640;&#19977;&#29289;&#29702;&#19987;&#39064;&#22797;&#20064;&#36164;&#26009;&#32534;&#20889;&#24037;&#20316;\41WL1412.TIF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file:///I:\&#23548;&#23398;&#26696;\&#39640;&#19977;&#29289;&#29702;&#31532;&#21313;&#20845;&#21608;&#23548;&#23398;&#26696;\&#23548;&#23398;&#26696;\W14-3.T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1720</Characters>
  <Application>Microsoft Office Word</Application>
  <DocSecurity>0</DocSecurity>
  <Lines>14</Lines>
  <Paragraphs>4</Paragraphs>
  <ScaleCrop>false</ScaleCrop>
  <Company>江苏省仪征中学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小汪</dc:creator>
  <cp:lastModifiedBy>云松</cp:lastModifiedBy>
  <cp:revision>6</cp:revision>
  <dcterms:created xsi:type="dcterms:W3CDTF">2021-11-03T12:00:00Z</dcterms:created>
  <dcterms:modified xsi:type="dcterms:W3CDTF">2023-04-28T07:25:00Z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C8685ACABB9F40BB9A93EB97C7619866</vt:lpwstr>
  </property>
</Properties>
</file>