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lang w:val="en-US" w:eastAsia="zh-CN"/>
        </w:rPr>
      </w:pPr>
      <w:r>
        <w:rPr>
          <w:rFonts w:hint="default" w:ascii="宋体" w:hAnsi="宋体" w:eastAsia="宋体" w:cs="宋体"/>
          <w:b/>
          <w:color w:val="auto"/>
          <w:sz w:val="32"/>
          <w:lang w:val="en-US"/>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11849100</wp:posOffset>
            </wp:positionV>
            <wp:extent cx="469900" cy="3429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69900" cy="342900"/>
                    </a:xfrm>
                    <a:prstGeom prst="rect">
                      <a:avLst/>
                    </a:prstGeom>
                  </pic:spPr>
                </pic:pic>
              </a:graphicData>
            </a:graphic>
          </wp:anchor>
        </w:drawing>
      </w:r>
      <w:r>
        <w:rPr>
          <w:rFonts w:hint="eastAsia" w:ascii="宋体" w:hAnsi="宋体" w:cs="宋体"/>
          <w:b/>
          <w:color w:val="auto"/>
          <w:sz w:val="32"/>
          <w:lang w:val="en-US" w:eastAsia="zh-CN"/>
        </w:rPr>
        <w:t>江苏省仪征中学</w:t>
      </w:r>
      <w:r>
        <w:rPr>
          <w:rFonts w:ascii="宋体" w:hAnsi="宋体" w:eastAsia="宋体" w:cs="宋体"/>
          <w:b/>
          <w:color w:val="auto"/>
          <w:sz w:val="32"/>
        </w:rPr>
        <w:t>高三语文</w:t>
      </w:r>
      <w:r>
        <w:rPr>
          <w:rFonts w:hint="eastAsia" w:ascii="宋体" w:hAnsi="宋体" w:cs="宋体"/>
          <w:b/>
          <w:color w:val="auto"/>
          <w:sz w:val="32"/>
          <w:lang w:eastAsia="zh-CN"/>
        </w:rPr>
        <w:t>综合练习试卷（一）</w:t>
      </w: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一、现代文阅读（</w:t>
      </w:r>
      <w:r>
        <w:rPr>
          <w:rFonts w:hint="eastAsia" w:ascii="宋体" w:hAnsi="宋体" w:cs="宋体"/>
          <w:b/>
          <w:color w:val="auto"/>
          <w:sz w:val="24"/>
          <w:lang w:val="en-US" w:eastAsia="zh-CN"/>
        </w:rPr>
        <w:t>19</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宋体" w:hAnsi="宋体" w:eastAsia="宋体" w:cs="宋体"/>
          <w:color w:val="auto"/>
        </w:rPr>
        <w:t>阅读下面的文字，完成下面小题。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游戏是快乐的，这种快乐在释放用户主体性的数字时代得到充分体现，从人们对文学的消费活动来看，它在很大程度上成了一种基于玩乐心理的游戏。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英国学者威廉·斯蒂芬森主张从游戏范式来理解传播，认为大众传播研究严重忽视游戏元素，应从传统信息理论走向游戏理论。受行为主义心理学影响的传统传播效果研究，将信息刺激与受众反应之间看成线性关系，忽视其个体差异与精神复杂性。在斯蒂芬森看来，用户在传播中是体验快乐的主体，比如人们看报纸，并非必需任务，也无明确目标，而是随心所欲浏览，成为自主性游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斯蒂芬森强调从信息范式走向游戏范式，这种范式转换显然在当下具有很大阐释力。当代社会是闲暇社会，网络兴起后，数字化休闲更是成为人们的日常生活，网络聊天、角色扮演、自拍展示、操控、互动、恶搞、玩梗……网民种种行为都带有游戏性。斯蒂芬森所在的时代还没有网络，传播中的游戏行为主要基于想象，而现在人们可以充分互动、操作，更有参与、行动的游戏感。这也表现在文学上，网民对文学的态度主要基于游戏心理，对文学的阅读、“代入”、戏仿、分享、玩梗、吐槽，以及二次创作，主要是为了“好玩”。需要注意的是，游戏性并不限于娱乐性较强的大众文学的消费活动，而是指整个数字时代的文学，不管是大众文学还是精英文学，只要它在网上消费时，都会出现游戏行为，比如传统经典《红楼梦》，网络上有大量关于它的角色扮演、玩梗与二次创作，又比如超文本文学、超媒体文学，对它们的阅读与互动本身就带有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文学消费活动的游戏化实际上是历史趋势。游戏与艺术、文学的游戏性与社会性早期处于交融状态，此后开始分离，或强调文以载道，或走向感官游戏。书面文化制约了交互的游戏性，不过也有一些文学实验试图突出读者的主动性，尤其是后现代文学让阅读走向游戏化。在理论上，读者反应批评、接受美学、阐释学、后结构主义、解构主义，都将游戏视为开放性文本的原型。数字技术兴起后，人们可以随意操作文本，文学消费进一步凸显了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数字时代文学消费的游戏性不只在于读者与文本的关系，还在于主体之间的群体交往。网络阅读与传统阅读的不同在于，论坛环境可以随时交流，社交媒体强化了这种倾向，人们边看故事边讨论，实现了“沉浸”与“交互”两者转换的自由。“文本作为游戏”概括的是后结构主义文本理论及实践，如果说作为“世界”的文本主要是大众化文本，作为“游戏”的文本则是精英化的超文本、视觉诗歌、后现代小说等。然而数字时代并不只是后现代小说、超文本的精英文学，也可能是中国网络文学、日本轻小说这种流行文艺，后者具有二元性：一方面不是精英文学，而是大众化文本；另一方面又非传统“沉浸”式欣赏，而是因社交而不断打破沉浸，具有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值得注意的是，中国传统文论也有“以文为戏”的说法，并提供了西方理论之外的思考路径。“以文为戏”的说法源自中唐，韩愈在《毛颖传》中为毛笔写传记，裴度批评了这种游戏写作：“不以文立制，而以文为戏。”经后世学者阐发，“以文为戏”渐成中国文论重要概念。“以文为戏”就是以游戏态度对待阅读与写作。韩愈以史传笔法为毛笔立传，充满戏拟与反讽，读者也心领神会，视其为游戏之作，而韩愈的文人身份与案头化写作，也让“以文为戏”类似于精英化的文本嬉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不过，“以文为戏”还指涉其它情况，被古人用来形容传统文学“跨进跨出”的艺术特征。在《水浒传》第三十回，武松杀了一个丫鬟，另一个见状欲走，却“惊得呆了”。叙述者此时插话：“休道是两个丫鬟，便是说话的见了，也惊得口里半舌不展！”金圣叹评点道：“忽然跳出话外，真是以文为戏。”叙述者的评论打破了沉浸，具有游戏性。脂砚斋在评点《红楼梦》中的“跳出话外”时，同样认为这是文学的游戏化：“又忽作此数语，以幻弄成真，以真弄成幻，真真假假，恣意游戏于笔墨之中。”“跨进跨出”是中国艺术较为突出的特点。中国小说时常有干预叙述，人物视角与说话人视角呈现流动性。这种跨层在中国戏剧、曲艺表演中也相当常见，戏谚“一人多角，跳进跳出”，指的就是这种特点。</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中国文学“跨进跨出”的叙述程式，与说唱艺术初始对小说、戏曲的影响有关，这与当下数字媒介重建口头文化经验具有相通性，契合了数字时代社交性、群体性的游戏化消费活动。</w:t>
      </w:r>
    </w:p>
    <w:p>
      <w:pPr>
        <w:keepNext w:val="0"/>
        <w:keepLines w:val="0"/>
        <w:pageBreakBefore w:val="0"/>
        <w:widowControl w:val="0"/>
        <w:kinsoku/>
        <w:wordWrap/>
        <w:overflowPunct/>
        <w:topLinePunct w:val="0"/>
        <w:autoSpaceDE/>
        <w:autoSpaceDN/>
        <w:bidi w:val="0"/>
        <w:adjustRightInd/>
        <w:snapToGrid/>
        <w:spacing w:line="240" w:lineRule="auto"/>
        <w:jc w:val="right"/>
      </w:pPr>
      <w:r>
        <w:rPr>
          <w:rFonts w:ascii="楷体" w:hAnsi="楷体" w:eastAsia="楷体" w:cs="楷体"/>
          <w:color w:val="auto"/>
        </w:rPr>
        <w:t>（选自黎杨全《“文本作为游戏”：文学的阅读动机与活动机制》，有删改）</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1. </w:t>
      </w:r>
      <w:r>
        <w:rPr>
          <w:rFonts w:ascii="宋体" w:hAnsi="宋体" w:eastAsia="宋体" w:cs="宋体"/>
          <w:color w:val="auto"/>
        </w:rPr>
        <w:t>下列对原文相关内容的理解和分析，正确的一项是（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数字技术兴起后，人们可以随意操作文本，文学的消费活动很大程度上成了一种基于玩乐心理的游戏。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斯蒂芬森受行为主义心理学影响，忽视个体差异与精神复杂性，从而将信息刺激与受众反应之间看成线性关系。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游戏与艺术早期处于交融状态，此后开始分离，而后在接受美学等理论影响下形成文学消费游戏化的原型。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传统文学艺术中的“跨进跨出”是指干预叙事，人物视角与说话人视角呈现流动性，主要出现在小说体裁中。</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2. </w:t>
      </w:r>
      <w:r>
        <w:rPr>
          <w:rFonts w:ascii="宋体" w:hAnsi="宋体" w:eastAsia="宋体" w:cs="宋体"/>
          <w:color w:val="auto"/>
        </w:rPr>
        <w:t>根据原文内容，下列说法正确的一项是（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数字化时代网络阅读环境可以随时交流，这使得文学消费逐渐游戏化，所以在前数字化时代书面文学不具备游戏化特征。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书面文化制约了交互的游戏性，但数字技术兴起后，人们可以随意操作文本，“以文为戏”不再有制约性。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韩愈的《毛颖传》以史传笔法为毛笔立传，充满戏拟与反讽，所以“以文为戏”是一种针对精英文学的文本嬉戏。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中国文学“跨进跨出”的叙述特点，受到说唱艺术的影响，对当下数字媒介重建口头文化可能具有一定的借鉴性。</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3. </w:t>
      </w:r>
      <w:r>
        <w:rPr>
          <w:rFonts w:ascii="宋体" w:hAnsi="宋体" w:eastAsia="宋体" w:cs="宋体"/>
          <w:color w:val="auto"/>
        </w:rPr>
        <w:t>在视频网站上，以下视频标题最能体现“数字时代文学消费的游戏性”的一项是（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《××教授〈西游记〉人物形象解读》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《××大学公开课：〈西游记〉孙悟空的性格内涵》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《西游局中局——与你一起揭秘红孩儿身世》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《细说从头——溯源〈西游记〉故事的原型》</w:t>
      </w:r>
    </w:p>
    <w:p>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color w:val="auto"/>
        </w:rPr>
      </w:pPr>
      <w:r>
        <w:rPr>
          <w:color w:val="auto"/>
        </w:rPr>
        <w:t xml:space="preserve">4. </w:t>
      </w:r>
      <w:r>
        <w:rPr>
          <w:rFonts w:ascii="宋体" w:hAnsi="宋体" w:eastAsia="宋体" w:cs="宋体"/>
          <w:color w:val="auto"/>
        </w:rPr>
        <w:t>结合文本简述中国传统理论中的“以文为戏”和“数字时代文学消费活动的游戏性”的区别。</w:t>
      </w: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5. </w:t>
      </w:r>
      <w:r>
        <w:rPr>
          <w:rFonts w:ascii="宋体" w:hAnsi="宋体" w:eastAsia="宋体" w:cs="宋体"/>
          <w:color w:val="auto"/>
        </w:rPr>
        <w:t>根据文本内容，阐释下列材料中文学消费游戏化的现象。</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楷体" w:hAnsi="楷体" w:eastAsia="楷体" w:cs="楷体"/>
          <w:color w:val="auto"/>
        </w:rPr>
      </w:pPr>
      <w:r>
        <w:rPr>
          <w:rFonts w:ascii="楷体" w:hAnsi="楷体" w:eastAsia="楷体" w:cs="楷体"/>
          <w:color w:val="auto"/>
        </w:rPr>
        <w:t>日前，在某地招聘会上，有企业把招聘服务员、洗菜工的广告带进了大学校园，让众多大学生为之感慨唏嘘。有网友吐槽：“学历不但是敲门砖，也是下不来的高台，更是孔乙己脱不下的长衫。”这引发了众多网友的共鸣，网络上出现了各种跟贴和评论，有说“少年不识孔乙己，读懂已是书中人”，有说“如果当时的孔乙己脱下长衫，或许他只能当村里的闰土”……一时间，“孔乙己文学”成为网络热潮，无数的年轻人借此来表达高学历却找不到心仪工作的困顿苦闷。</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二、文言文阅读（本题共5小题，20分）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阅读下面的文言文，完成下面小题。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（吴王）寿梦病将卒。有子四人：长曰诸樊，次曰余祭，次曰余昧，次曰季札。季札贤，寿梦欲立之，季札让，曰：“礼有旧制，奈何废前王之礼，而行父子之私乎？”</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寿梦乃命诸樊曰：“我欲传国及札，尔无忘寡人之言。”诸樊曰：“周之太王知西伯之圣，废长立少，王之道兴。</w:t>
      </w:r>
      <w:r>
        <w:rPr>
          <w:rFonts w:ascii="Cambria Math" w:hAnsi="Cambria Math" w:eastAsia="Cambria Math" w:cs="Cambria Math"/>
          <w:color w:val="000000"/>
          <w:vertAlign w:val="superscript"/>
        </w:rPr>
        <w:t>①</w:t>
      </w:r>
      <w:r>
        <w:rPr>
          <w:rFonts w:ascii="楷体" w:hAnsi="楷体" w:eastAsia="楷体" w:cs="楷体"/>
          <w:color w:val="000000"/>
        </w:rPr>
        <w:t>今欲授国于札，臣诚耕于野。”王曰：“昔周行之德加于四海，</w:t>
      </w:r>
      <w:r>
        <w:rPr>
          <w:rFonts w:ascii="楷体" w:hAnsi="楷体" w:eastAsia="楷体" w:cs="楷体"/>
          <w:color w:val="000000"/>
          <w:u w:val="wave"/>
        </w:rPr>
        <w:t>今汝于区区之国荆蛮之乡奚能成天子之业乎且今子不忘前人之言必授国以次及于季札。</w:t>
      </w:r>
      <w:r>
        <w:rPr>
          <w:rFonts w:ascii="楷体" w:hAnsi="楷体" w:eastAsia="楷体" w:cs="楷体"/>
          <w:color w:val="000000"/>
        </w:rPr>
        <w:t>”诸樊曰：“</w:t>
      </w:r>
      <w:r>
        <w:rPr>
          <w:rFonts w:ascii="楷体" w:hAnsi="楷体" w:eastAsia="楷体" w:cs="楷体"/>
          <w:color w:val="000000"/>
          <w:em w:val="dot"/>
        </w:rPr>
        <w:t>敢</w:t>
      </w:r>
      <w:r>
        <w:rPr>
          <w:rFonts w:ascii="楷体" w:hAnsi="楷体" w:eastAsia="楷体" w:cs="楷体"/>
          <w:color w:val="000000"/>
        </w:rPr>
        <w:t>不如命？”</w:t>
      </w:r>
      <w:r>
        <w:rPr>
          <w:rFonts w:ascii="楷体" w:hAnsi="楷体" w:eastAsia="楷体" w:cs="楷体"/>
          <w:color w:val="000000"/>
          <w:u w:val="single"/>
        </w:rPr>
        <w:t>寿梦卒，诸樊以嫡长摄行事，当国政。</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吴王诸樊元年，已除丧，让季札，曰：“昔前王未薨之时，尝晨昧不安，吾望其色也，意在于季札。又复三朝悲吟而命我曰：‘吾知公子札之贤，欲废长立少。’</w:t>
      </w:r>
      <w:r>
        <w:rPr>
          <w:rFonts w:ascii="楷体" w:hAnsi="楷体" w:eastAsia="楷体" w:cs="楷体"/>
          <w:color w:val="000000"/>
          <w:em w:val="dot"/>
        </w:rPr>
        <w:t>重</w:t>
      </w:r>
      <w:r>
        <w:rPr>
          <w:rFonts w:ascii="楷体" w:hAnsi="楷体" w:eastAsia="楷体" w:cs="楷体"/>
          <w:color w:val="000000"/>
        </w:rPr>
        <w:t>发言于口。虽然，我心已许之，然前王不忍行其私计，以国付我，我敢不从命乎？今国者，子之国也，吾愿达前王之义。”</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季札谢曰：“夫嫡长当国，非前王之私，乃宗庙社稷之制，岂可变乎？”</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诸樊曰：“苟可施于国，何先王之命有！太王改为季历，二伯来入荆蛮，遂</w:t>
      </w:r>
      <w:r>
        <w:rPr>
          <w:rFonts w:ascii="楷体" w:hAnsi="楷体" w:eastAsia="楷体" w:cs="楷体"/>
          <w:color w:val="000000"/>
          <w:em w:val="dot"/>
        </w:rPr>
        <w:t>城</w:t>
      </w:r>
      <w:r>
        <w:rPr>
          <w:rFonts w:ascii="楷体" w:hAnsi="楷体" w:eastAsia="楷体" w:cs="楷体"/>
          <w:color w:val="000000"/>
        </w:rPr>
        <w:t>为国。</w:t>
      </w:r>
      <w:r>
        <w:rPr>
          <w:rFonts w:ascii="楷体" w:hAnsi="楷体" w:eastAsia="楷体" w:cs="楷体"/>
          <w:color w:val="000000"/>
          <w:u w:val="single"/>
        </w:rPr>
        <w:t>周道就成，前人诵之，不绝于口，而子之所习也。”</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札复谢曰：“昔曹公卒，庶存嫡亡，诸侯与曹人不义而立于国。子臧闻之，行吟而归。曹君惧，将立子臧，子臧去之，以成曹之道。札虽不才，愿附子臧之义。吾诚避之。”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吴人固立季札，季札不受而耕于野，吴人</w:t>
      </w:r>
      <w:r>
        <w:rPr>
          <w:rFonts w:ascii="楷体" w:hAnsi="楷体" w:eastAsia="楷体" w:cs="楷体"/>
          <w:color w:val="000000"/>
          <w:em w:val="dot"/>
        </w:rPr>
        <w:t>舍</w:t>
      </w:r>
      <w:r>
        <w:rPr>
          <w:rFonts w:ascii="楷体" w:hAnsi="楷体" w:eastAsia="楷体" w:cs="楷体"/>
          <w:color w:val="000000"/>
        </w:rPr>
        <w:t>之。诸樊骄恣，轻慢鬼神，仰天求死。将死，命弟余祭曰：“必以国及季札。”乃封季札于延陵，号曰延陵季子。</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（节选自《吴越春秋·吴王寿梦传》）</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材料二：</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子诸樊既除丧，将立季札。季札辞曰：“曹宣公之卒也，诸侯与曹人不义曹君，将立子臧。子臧去之，遂弗为也，以成曹君。君子曰：‘能守节。’君，义嗣也。谁敢奸君？有国，非吾节也。札虽不才，愿附于子臧，以无失节。”固立之。弃其室而耕。乃舍之。</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（节选自《左传·襄公十四年》）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【注】①周太王古公亶父为了传位给孙子姬昌（西伯），将王位传给小儿子季历（姬昌之父），长子次子迁至楚地定居，季历去世后姬昌即位，周王朝治国之道得以兴盛。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材料一画波浪线的部分有三处需要断句，请用铅笔将答题卡上相应位置的答案标号涂黑，每涂对一处给1分，涂黑超过三处不给分。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position w:val="-12"/>
        </w:rPr>
      </w:pPr>
      <w:r>
        <w:rPr>
          <w:rFonts w:ascii="宋体" w:hAnsi="宋体" w:eastAsia="宋体" w:cs="宋体"/>
          <w:color w:val="000000"/>
        </w:rPr>
        <w:t>今汝于区区之国</w:t>
      </w:r>
      <w:r>
        <w:rPr>
          <w:rFonts w:ascii="Times New Roman" w:hAnsi="Times New Roman" w:eastAsia="Times New Roman" w:cs="Times New Roman"/>
          <w:color w:val="000000"/>
        </w:rPr>
        <w:t>A</w:t>
      </w:r>
      <w:r>
        <w:rPr>
          <w:rFonts w:ascii="宋体" w:hAnsi="宋体" w:eastAsia="宋体" w:cs="宋体"/>
          <w:color w:val="000000"/>
        </w:rPr>
        <w:t>荆蛮之乡</w:t>
      </w:r>
      <w:r>
        <w:rPr>
          <w:rFonts w:ascii="Times New Roman" w:hAnsi="Times New Roman" w:eastAsia="Times New Roman" w:cs="Times New Roman"/>
          <w:color w:val="000000"/>
        </w:rPr>
        <w:t>B</w:t>
      </w:r>
      <w:r>
        <w:rPr>
          <w:rFonts w:ascii="宋体" w:hAnsi="宋体" w:eastAsia="宋体" w:cs="宋体"/>
          <w:color w:val="000000"/>
        </w:rPr>
        <w:t>奚能成天</w:t>
      </w:r>
      <w:r>
        <w:rPr>
          <w:rFonts w:ascii="Times New Roman" w:hAnsi="Times New Roman" w:eastAsia="Times New Roman" w:cs="Times New Roman"/>
          <w:color w:val="000000"/>
        </w:rPr>
        <w:t>C</w:t>
      </w:r>
      <w:r>
        <w:rPr>
          <w:rFonts w:ascii="宋体" w:hAnsi="宋体" w:eastAsia="宋体" w:cs="宋体"/>
          <w:color w:val="000000"/>
        </w:rPr>
        <w:t>子之业乎</w:t>
      </w:r>
      <w:r>
        <w:rPr>
          <w:rFonts w:ascii="Times New Roman" w:hAnsi="Times New Roman" w:eastAsia="Times New Roman" w:cs="Times New Roman"/>
          <w:color w:val="000000"/>
        </w:rPr>
        <w:t>D</w:t>
      </w:r>
      <w:r>
        <w:rPr>
          <w:rFonts w:ascii="宋体" w:hAnsi="宋体" w:eastAsia="宋体" w:cs="宋体"/>
          <w:color w:val="000000"/>
        </w:rPr>
        <w:t>且今</w:t>
      </w:r>
      <w:r>
        <w:rPr>
          <w:rFonts w:ascii="Times New Roman" w:hAnsi="Times New Roman" w:eastAsia="Times New Roman" w:cs="Times New Roman"/>
          <w:color w:val="000000"/>
        </w:rPr>
        <w:t>E</w:t>
      </w:r>
      <w:r>
        <w:rPr>
          <w:rFonts w:ascii="宋体" w:hAnsi="宋体" w:eastAsia="宋体" w:cs="宋体"/>
          <w:color w:val="000000"/>
        </w:rPr>
        <w:t>子不忘</w:t>
      </w:r>
      <w:r>
        <w:rPr>
          <w:rFonts w:ascii="Times New Roman" w:hAnsi="Times New Roman" w:eastAsia="Times New Roman" w:cs="Times New Roman"/>
          <w:color w:val="000000"/>
        </w:rPr>
        <w:t>F</w:t>
      </w:r>
      <w:r>
        <w:rPr>
          <w:rFonts w:ascii="宋体" w:hAnsi="宋体" w:eastAsia="宋体" w:cs="宋体"/>
          <w:color w:val="000000"/>
        </w:rPr>
        <w:t>前人之言</w:t>
      </w:r>
      <w:r>
        <w:rPr>
          <w:rFonts w:ascii="Times New Roman" w:hAnsi="Times New Roman" w:eastAsia="Times New Roman" w:cs="Times New Roman"/>
          <w:color w:val="000000"/>
        </w:rPr>
        <w:t>G</w:t>
      </w:r>
      <w:r>
        <w:rPr>
          <w:rFonts w:ascii="宋体" w:hAnsi="宋体" w:eastAsia="宋体" w:cs="宋体"/>
          <w:color w:val="000000"/>
        </w:rPr>
        <w:t>必授国</w:t>
      </w:r>
      <w:r>
        <w:rPr>
          <w:rFonts w:ascii="Times New Roman" w:hAnsi="Times New Roman" w:eastAsia="Times New Roman" w:cs="Times New Roman"/>
          <w:color w:val="000000"/>
        </w:rPr>
        <w:t>H</w:t>
      </w:r>
      <w:r>
        <w:rPr>
          <w:rFonts w:ascii="宋体" w:hAnsi="宋体" w:eastAsia="宋体" w:cs="宋体"/>
          <w:color w:val="000000"/>
        </w:rPr>
        <w:t>以次及于季札</w:t>
      </w:r>
      <w:r>
        <w:rPr>
          <w:rFonts w:ascii="宋体" w:hAnsi="宋体" w:eastAsia="宋体" w:cs="宋体"/>
          <w:color w:val="000000"/>
          <w:position w:val="-12"/>
        </w:rPr>
        <w:drawing>
          <wp:inline distT="0" distB="0" distL="114300" distR="11430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下列对材料中加点的词语及相关内容的解说，不正确的一项是（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敢，岂敢，用于反问，与“若亡郑而有益于君，敢以烦执事”中的“敢”词义不同。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重，慎重，谨慎，也表对某事感到为难，与成语“安土重迁”中的“重”词义相同。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城，在文中用为动词，指修筑城墙，与“然后践华为城”中的“城”词义用法不同。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舍，在文中用为动词，指安置住宿，与“舍相如广成传舍”句首的“舍”用法相同。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下列对材料有关内容的概述，不正确的一项是（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吴王寿梦欲废长立幼传位给贤明的幼子季札，即使被拒，依然把此愿托付给了诸樊。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季札谢绝寿梦传位的理由主要是不能让父子之间的私情超越了先王传下的礼法制度。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周太王废长立幼而王朝兴盛，诸樊借此以表示对父王的理解，也引此例以劝说季札。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诸樊没能实现先王的遗愿，心怀憾恨而哀痛过度，临终之际依然令二弟传位给季札。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把材料中画横线的句子翻译成现代汉语。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（1）寿梦卒，诸樊以嫡长摄行事，当国政。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ascii="宋体" w:hAnsi="宋体" w:eastAsia="宋体" w:cs="宋体"/>
          <w:color w:val="000000"/>
        </w:rPr>
        <w:t>周道就成，前人诵之，不绝于口，而子之所习也。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hint="eastAsia"/>
          <w:color w:val="000000"/>
          <w:lang w:val="en-US" w:eastAsia="zh-CN"/>
        </w:rPr>
        <w:t>0.</w:t>
      </w:r>
      <w:r>
        <w:rPr>
          <w:rFonts w:ascii="宋体" w:hAnsi="宋体" w:eastAsia="宋体" w:cs="宋体"/>
          <w:color w:val="000000"/>
        </w:rPr>
        <w:t>季札答复诸樊让位的言辞内容，《吴越春秋》与《左传》的记载各有什么不同？依据文本，简要概括。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ascii="宋体" w:hAnsi="宋体" w:cs="宋体"/>
          <w:b/>
          <w:color w:val="000000"/>
          <w:sz w:val="24"/>
          <w:lang w:eastAsia="zh-CN"/>
        </w:rPr>
        <w:t>三、</w:t>
      </w:r>
      <w:r>
        <w:rPr>
          <w:rFonts w:ascii="宋体" w:hAnsi="宋体" w:eastAsia="宋体" w:cs="宋体"/>
          <w:b/>
          <w:color w:val="000000"/>
          <w:sz w:val="24"/>
        </w:rPr>
        <w:t>语言文字运用（</w:t>
      </w:r>
      <w:r>
        <w:rPr>
          <w:rFonts w:hint="eastAsia" w:ascii="宋体" w:hAnsi="宋体" w:cs="宋体"/>
          <w:b/>
          <w:color w:val="000000"/>
          <w:sz w:val="24"/>
          <w:lang w:val="en-US" w:eastAsia="zh-CN"/>
        </w:rPr>
        <w:t>9</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街道的下面是复杂的管道，对其进行定期检查或修复，通常需要</w:t>
      </w:r>
      <w:r>
        <w:rPr>
          <w:rFonts w:ascii="楷体" w:hAnsi="楷体" w:eastAsia="楷体" w:cs="楷体"/>
          <w:color w:val="000000"/>
          <w:u w:val="single"/>
        </w:rPr>
        <w:t xml:space="preserve">          ①          </w:t>
      </w:r>
      <w:r>
        <w:rPr>
          <w:rFonts w:ascii="楷体" w:hAnsi="楷体" w:eastAsia="楷体" w:cs="楷体"/>
          <w:color w:val="000000"/>
        </w:rPr>
        <w:t>，但这种方法成本高昂，还可能扰乱交通，破坏环境。英国利兹大学教授内塔·科恩博士团队展示的一种名为“乔伊”的微型机器人，可自主探索真实的地下管网，</w:t>
      </w:r>
      <w:r>
        <w:rPr>
          <w:rFonts w:ascii="楷体" w:hAnsi="楷体" w:eastAsia="楷体" w:cs="楷体"/>
          <w:color w:val="000000"/>
          <w:u w:val="wave"/>
        </w:rPr>
        <w:t>甚至无需相机导航。</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乔伊借助3</w:t>
      </w:r>
      <w:r>
        <w:rPr>
          <w:rFonts w:ascii="Times New Roman" w:hAnsi="Times New Roman" w:eastAsia="Times New Roman" w:cs="Times New Roman"/>
          <w:color w:val="000000"/>
        </w:rPr>
        <w:t>D</w:t>
      </w:r>
      <w:r>
        <w:rPr>
          <w:rFonts w:ascii="楷体" w:hAnsi="楷体" w:eastAsia="楷体" w:cs="楷体"/>
          <w:color w:val="000000"/>
        </w:rPr>
        <w:t>打印的“轮腿”移动，这种轮腿，</w:t>
      </w:r>
      <w:r>
        <w:rPr>
          <w:rFonts w:ascii="楷体" w:hAnsi="楷体" w:eastAsia="楷体" w:cs="楷体"/>
          <w:color w:val="000000"/>
          <w:u w:val="single"/>
        </w:rPr>
        <w:t xml:space="preserve">            ②            </w:t>
      </w:r>
      <w:r>
        <w:rPr>
          <w:rFonts w:ascii="楷体" w:hAnsi="楷体" w:eastAsia="楷体" w:cs="楷体"/>
          <w:color w:val="000000"/>
        </w:rPr>
        <w:t>，也可在小障碍物上行走。它配备了一系列节能传感器，可测量它到墙壁、交叉口和角落的距离。传感器可让乔伊在不需要打开摄像头或使用耗电的计算机视觉的情况下导航。这既节省了能源，又延长了乔伊电池的寿命。</w:t>
      </w:r>
      <w:r>
        <w:rPr>
          <w:rFonts w:ascii="楷体" w:hAnsi="楷体" w:eastAsia="楷体" w:cs="楷体"/>
          <w:color w:val="000000"/>
          <w:u w:val="single"/>
        </w:rPr>
        <w:t xml:space="preserve">            ③             </w:t>
      </w:r>
      <w:r>
        <w:rPr>
          <w:rFonts w:ascii="楷体" w:hAnsi="楷体" w:eastAsia="楷体" w:cs="楷体"/>
          <w:color w:val="000000"/>
        </w:rPr>
        <w:t>，乔伊就会回到原点，“补充”能量。</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研究人员表示，其目标是开发一群可交流和合作的“乔伊们”，而且它们还将通过一个名为“袋鼠妈妈”的母亲机器人进行部署。袋鼠妈妈将配备更复杂的传感器和机械臂等修复工具，并携带多个乔伊。最终，该系统能够检查和绘制管网的状况图，</w:t>
      </w:r>
      <w:r>
        <w:rPr>
          <w:rFonts w:ascii="楷体" w:hAnsi="楷体" w:eastAsia="楷体" w:cs="楷体"/>
          <w:color w:val="000000"/>
          <w:u w:val="wave"/>
        </w:rPr>
        <w:t>监控管道甚至执行维护任务。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宋体" w:hAnsi="宋体" w:cs="宋体"/>
          <w:color w:val="000000"/>
          <w:lang w:val="en-US" w:eastAsia="zh-CN"/>
        </w:rPr>
        <w:t>11.</w:t>
      </w:r>
      <w:r>
        <w:rPr>
          <w:rFonts w:ascii="宋体" w:hAnsi="宋体" w:eastAsia="宋体" w:cs="宋体"/>
          <w:color w:val="000000"/>
        </w:rPr>
        <w:t>文中画波浪线的两句中，都有“甚至”一词，说说二者表意上的不同。</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left"/>
        <w:textAlignment w:val="center"/>
        <w:rPr>
          <w:rFonts w:ascii="宋体" w:hAnsi="宋体" w:eastAsia="宋体" w:cs="宋体"/>
          <w:color w:val="000000"/>
        </w:rPr>
      </w:pPr>
      <w:r>
        <w:rPr>
          <w:b/>
          <w:bCs/>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hint="eastAsia"/>
          <w:color w:val="000000"/>
          <w:lang w:val="en-US" w:eastAsia="zh-CN"/>
        </w:rPr>
        <w:t>2.</w:t>
      </w:r>
      <w:r>
        <w:rPr>
          <w:rFonts w:ascii="宋体" w:hAnsi="宋体" w:eastAsia="宋体" w:cs="宋体"/>
          <w:color w:val="000000"/>
        </w:rPr>
        <w:t>请在文中画横线处补写恰当的语句，使整段文字语意完整连贯，内容贴切，逻辑严密，每处不超过12个字。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083" w:right="1080" w:bottom="1100" w:left="1080" w:header="152" w:footer="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08"/>
      </w:tabs>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DEE7780"/>
    <w:rsid w:val="0DEE7780"/>
    <w:rsid w:val="6AD3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2024-01-03T11:42:00Z</dcterms:created>
  <dc:creator>简单办公丶皎舟</dc:creator>
  <cp:lastModifiedBy>光阴荏苒</cp:lastModifiedBy>
  <dcterms:modified xsi:type="dcterms:W3CDTF">2024-05-10T07:38:29Z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1A48319709F446889CED0770A72C1003_11</vt:lpwstr>
  </property>
</Properties>
</file>