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2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江苏省仪征中学2022-2023学年度第一学期高三语文学科导学案</w:t>
      </w:r>
    </w:p>
    <w:p>
      <w:pPr>
        <w:jc w:val="center"/>
        <w:rPr>
          <w:rFonts w:hint="default" w:ascii="宋体" w:hAnsi="宋体" w:cs="宋体" w:eastAsiaTheme="minorEastAsia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修辞手法（应用修辞）</w:t>
      </w:r>
    </w:p>
    <w:p>
      <w:pPr>
        <w:jc w:val="center"/>
        <w:rPr>
          <w:b/>
          <w:bCs/>
        </w:rPr>
      </w:pPr>
      <w:r>
        <w:rPr>
          <w:rFonts w:hint="eastAsia"/>
          <w:b/>
          <w:bCs/>
        </w:rPr>
        <w:t xml:space="preserve">研制人： </w:t>
      </w:r>
      <w:r>
        <w:rPr>
          <w:rFonts w:hint="eastAsia"/>
          <w:b/>
          <w:bCs/>
          <w:lang w:val="en-US" w:eastAsia="zh-CN"/>
        </w:rPr>
        <w:t>钱慧颖</w:t>
      </w:r>
      <w:r>
        <w:rPr>
          <w:rFonts w:hint="eastAsia"/>
          <w:b/>
          <w:bCs/>
        </w:rPr>
        <w:t xml:space="preserve">  审核人：王勇 </w:t>
      </w:r>
    </w:p>
    <w:p>
      <w:pPr>
        <w:jc w:val="center"/>
        <w:rPr>
          <w:b/>
          <w:bCs/>
        </w:rPr>
      </w:pPr>
      <w:r>
        <w:rPr>
          <w:rFonts w:hint="eastAsia"/>
          <w:b/>
          <w:bCs/>
        </w:rPr>
        <w:t xml:space="preserve"> </w:t>
      </w:r>
    </w:p>
    <w:p>
      <w:pPr>
        <w:ind w:firstLine="1054" w:firstLineChars="500"/>
        <w:rPr>
          <w:b/>
          <w:bCs/>
          <w:u w:val="single"/>
        </w:rPr>
      </w:pPr>
      <w:r>
        <w:rPr>
          <w:rFonts w:hint="eastAsia"/>
          <w:b/>
          <w:bCs/>
        </w:rPr>
        <w:t>班级</w:t>
      </w:r>
      <w:r>
        <w:rPr>
          <w:rFonts w:hint="eastAsia"/>
          <w:b/>
          <w:bCs/>
          <w:u w:val="single"/>
        </w:rPr>
        <w:t xml:space="preserve">         </w:t>
      </w:r>
      <w:r>
        <w:rPr>
          <w:rFonts w:hint="eastAsia"/>
          <w:b/>
          <w:bCs/>
        </w:rPr>
        <w:t>姓名</w:t>
      </w:r>
      <w:r>
        <w:rPr>
          <w:rFonts w:hint="eastAsia"/>
          <w:b/>
          <w:bCs/>
          <w:u w:val="single"/>
        </w:rPr>
        <w:t xml:space="preserve">         </w:t>
      </w:r>
      <w:r>
        <w:rPr>
          <w:rFonts w:hint="eastAsia"/>
          <w:b/>
          <w:bCs/>
        </w:rPr>
        <w:t>学号</w:t>
      </w:r>
      <w:r>
        <w:rPr>
          <w:rFonts w:hint="eastAsia"/>
          <w:b/>
          <w:bCs/>
          <w:u w:val="single"/>
        </w:rPr>
        <w:t xml:space="preserve">         </w:t>
      </w:r>
      <w:r>
        <w:rPr>
          <w:rFonts w:hint="eastAsia"/>
          <w:b/>
          <w:bCs/>
        </w:rPr>
        <w:t>授课日期</w:t>
      </w:r>
      <w:r>
        <w:rPr>
          <w:rFonts w:hint="eastAsia"/>
          <w:b/>
          <w:bCs/>
          <w:u w:val="single"/>
        </w:rPr>
        <w:t xml:space="preserve">       </w:t>
      </w:r>
    </w:p>
    <w:p>
      <w:pPr>
        <w:numPr>
          <w:ilvl w:val="0"/>
          <w:numId w:val="2"/>
        </w:numPr>
        <w:snapToGrid w:val="0"/>
        <w:spacing w:line="306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素养导航</w:t>
      </w:r>
    </w:p>
    <w:p>
      <w:pPr>
        <w:pStyle w:val="2"/>
        <w:numPr>
          <w:ilvl w:val="0"/>
          <w:numId w:val="0"/>
        </w:numPr>
        <w:ind w:firstLine="420" w:firstLineChars="200"/>
      </w:pPr>
      <w:r>
        <w:rPr>
          <w:rFonts w:ascii="Times New Roman" w:hAnsi="Times New Roman" w:cs="Times New Roman"/>
        </w:rPr>
        <w:t>新课标、新高考都非常重视语言建构和运用这一核心素养，正确运用修辞手法就是这一核心素养中的一个重要内容。2020年</w:t>
      </w:r>
      <w:r>
        <w:rPr>
          <w:rFonts w:hint="eastAsia" w:ascii="Times New Roman" w:hAnsi="Times New Roman" w:cs="Times New Roman"/>
          <w:lang w:eastAsia="zh-CN"/>
        </w:rPr>
        <w:t>、</w:t>
      </w:r>
      <w:r>
        <w:rPr>
          <w:rFonts w:hint="eastAsia" w:ascii="Times New Roman" w:hAnsi="Times New Roman" w:cs="Times New Roman"/>
          <w:lang w:val="en-US" w:eastAsia="zh-CN"/>
        </w:rPr>
        <w:t>2021年</w:t>
      </w:r>
      <w:r>
        <w:rPr>
          <w:rFonts w:ascii="Times New Roman" w:hAnsi="Times New Roman" w:cs="Times New Roman"/>
        </w:rPr>
        <w:t>新高考全国卷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均单独设题考查，而且题型很新颖。高考命题启示我们在复习过程中，修辞手法的复习不只是在辨认修辞手法，分析修辞句的作用，更要注意分析修辞句在语境中的本质特性。这样，既可以扮靓我们的语言，又强化了语言这一核心素养，提高了我们的审美素养。</w:t>
      </w:r>
    </w:p>
    <w:p>
      <w:pPr>
        <w:numPr>
          <w:ilvl w:val="0"/>
          <w:numId w:val="3"/>
        </w:numPr>
        <w:snapToGrid w:val="0"/>
        <w:spacing w:line="360" w:lineRule="exact"/>
        <w:rPr>
          <w:rFonts w:hint="eastAsia"/>
        </w:rPr>
      </w:pPr>
      <w:r>
        <w:rPr>
          <w:rFonts w:hint="eastAsia" w:ascii="宋体" w:hAnsi="宋体" w:cs="宋体"/>
          <w:b/>
          <w:kern w:val="0"/>
          <w:szCs w:val="21"/>
        </w:rPr>
        <w:t>内容导读</w:t>
      </w:r>
    </w:p>
    <w:p>
      <w:pPr>
        <w:pStyle w:val="3"/>
        <w:tabs>
          <w:tab w:val="left" w:pos="3402"/>
        </w:tabs>
        <w:snapToGrid w:val="0"/>
        <w:ind w:firstLine="420"/>
        <w:jc w:val="both"/>
        <w:rPr>
          <w:rFonts w:hint="eastAsia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26670</wp:posOffset>
                </wp:positionV>
                <wp:extent cx="133350" cy="123825"/>
                <wp:effectExtent l="12700" t="12700" r="25400" b="15875"/>
                <wp:wrapNone/>
                <wp:docPr id="7" name="五角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93115" y="5086985"/>
                          <a:ext cx="133350" cy="1238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.75pt;margin-top:2.1pt;height:9.75pt;width:10.5pt;z-index:251659264;v-text-anchor:middle;mso-width-relative:page;mso-height-relative:page;" fillcolor="#4F81BD [3204]" filled="t" stroked="t" coordsize="133350,123825" o:gfxdata="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gxKAA1gAA&#10;AAYBAAAPAAAAAAAAAAEAIAAAACIAAABkcnMvZG93bnJldi54bWxQSwECFAAUAAAACACHTuJAzaoQ&#10;85ICAAAXBQAADgAAAAAAAAABACAAAAAlAQAAZHJzL2Uyb0RvYy54bWxQSwUGAAAAAAYABgBZAQAA&#10;KQYAAAAA&#10;" path="m0,47296l50935,47297,66675,0,82414,47297,133349,47296,92142,76527,107882,123824,66675,94593,25467,123824,41207,76527xe">
                <v:path textboxrect="0,0,133350,123825" o:connectlocs="66675,0;0,47296;25467,123824;107882,123824;133349,47296" o:connectangles="247,164,82,82,0"/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lang w:val="en-US" w:eastAsia="zh-CN"/>
        </w:rPr>
        <w:t>补充常用修辞手法：</w:t>
      </w:r>
    </w:p>
    <w:p>
      <w:pPr>
        <w:pStyle w:val="3"/>
        <w:tabs>
          <w:tab w:val="left" w:pos="3402"/>
        </w:tabs>
        <w:snapToGrid w:val="0"/>
        <w:ind w:firstLine="42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1.引用</w:t>
      </w:r>
    </w:p>
    <w:p>
      <w:pPr>
        <w:pStyle w:val="3"/>
        <w:tabs>
          <w:tab w:val="left" w:pos="3402"/>
        </w:tabs>
        <w:snapToGrid w:val="0"/>
        <w:ind w:firstLine="42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是指在说话或写作中引用现成的话，以表达自己思想感情的修辞方法。可使文章言简意赅，有助于说理抒情；又可增加文采，增强表现力。</w:t>
      </w:r>
    </w:p>
    <w:tbl>
      <w:tblPr>
        <w:tblStyle w:val="8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768"/>
        <w:gridCol w:w="7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74" w:type="dxa"/>
            <w:vMerge w:val="restart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引用</w:t>
            </w:r>
          </w:p>
        </w:tc>
        <w:tc>
          <w:tcPr>
            <w:tcW w:w="768" w:type="dxa"/>
            <w:vMerge w:val="restart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明引</w:t>
            </w:r>
          </w:p>
          <w:p>
            <w:pPr>
              <w:pStyle w:val="3"/>
              <w:tabs>
                <w:tab w:val="left" w:pos="3402"/>
              </w:tabs>
              <w:snapToGrid w:val="0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7477" w:type="dxa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指直接引用原文，并加上引号，或者是只引用原文大意，不加引号，但是都注明原文的出处。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74" w:type="dxa"/>
            <w:vMerge w:val="continue"/>
          </w:tcPr>
          <w:p>
            <w:pPr>
              <w:pStyle w:val="3"/>
              <w:tabs>
                <w:tab w:val="left" w:pos="3402"/>
              </w:tabs>
              <w:snapToGrid w:val="0"/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Merge w:val="continue"/>
          </w:tcPr>
          <w:p>
            <w:pPr>
              <w:pStyle w:val="3"/>
              <w:tabs>
                <w:tab w:val="left" w:pos="3402"/>
              </w:tabs>
              <w:snapToGrid w:val="0"/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7477" w:type="dxa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eg: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孔子曰：“三人行，必有我师。”是故弟子不必如师，师不必贤于弟子。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74" w:type="dxa"/>
            <w:vMerge w:val="continue"/>
          </w:tcPr>
          <w:p>
            <w:pPr>
              <w:pStyle w:val="3"/>
              <w:tabs>
                <w:tab w:val="left" w:pos="3402"/>
              </w:tabs>
              <w:snapToGrid w:val="0"/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Merge w:val="restart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暗引</w:t>
            </w:r>
          </w:p>
          <w:p>
            <w:pPr>
              <w:pStyle w:val="3"/>
              <w:tabs>
                <w:tab w:val="left" w:pos="3402"/>
              </w:tabs>
              <w:snapToGrid w:val="0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7477" w:type="dxa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指不说明引文出处，而将其编织在自己的话语中，或是引用原句，或是只引大意。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74" w:type="dxa"/>
            <w:vMerge w:val="continue"/>
          </w:tcPr>
          <w:p>
            <w:pPr>
              <w:pStyle w:val="3"/>
              <w:tabs>
                <w:tab w:val="left" w:pos="3402"/>
              </w:tabs>
              <w:snapToGrid w:val="0"/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Merge w:val="continue"/>
          </w:tcPr>
          <w:p>
            <w:pPr>
              <w:pStyle w:val="3"/>
              <w:tabs>
                <w:tab w:val="left" w:pos="3402"/>
              </w:tabs>
              <w:snapToGrid w:val="0"/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7477" w:type="dxa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eg: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失败乃成功之母，你千万不要气馁。</w:t>
            </w:r>
          </w:p>
        </w:tc>
      </w:tr>
    </w:tbl>
    <w:p>
      <w:pPr>
        <w:pStyle w:val="3"/>
        <w:numPr>
          <w:ilvl w:val="0"/>
          <w:numId w:val="0"/>
        </w:numPr>
        <w:tabs>
          <w:tab w:val="left" w:pos="3402"/>
        </w:tabs>
        <w:snapToGrid w:val="0"/>
        <w:jc w:val="both"/>
        <w:rPr>
          <w:rFonts w:hint="eastAsia"/>
          <w:b/>
          <w:bCs/>
          <w:lang w:val="en-US" w:eastAsia="zh-CN"/>
        </w:rPr>
      </w:pPr>
    </w:p>
    <w:p>
      <w:pPr>
        <w:pStyle w:val="3"/>
        <w:numPr>
          <w:ilvl w:val="0"/>
          <w:numId w:val="0"/>
        </w:numPr>
        <w:tabs>
          <w:tab w:val="left" w:pos="3402"/>
        </w:tabs>
        <w:snapToGrid w:val="0"/>
        <w:ind w:firstLine="422" w:firstLineChars="200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2.反语</w:t>
      </w:r>
    </w:p>
    <w:p>
      <w:pPr>
        <w:pStyle w:val="3"/>
        <w:numPr>
          <w:ilvl w:val="0"/>
          <w:numId w:val="0"/>
        </w:numPr>
        <w:tabs>
          <w:tab w:val="left" w:pos="3402"/>
        </w:tabs>
        <w:snapToGrid w:val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 w:val="0"/>
          <w:bCs w:val="0"/>
          <w:lang w:val="en-US" w:eastAsia="zh-CN"/>
        </w:rPr>
        <w:t>是指正话反说或反话正说，即通常所说的“说反话”，运用跟本意相反的词语来表达此意，却含有否定、讽刺以及嘲弄的意思，是一种带有强烈感情色彩的修辞方法。</w:t>
      </w:r>
    </w:p>
    <w:tbl>
      <w:tblPr>
        <w:tblStyle w:val="8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201"/>
        <w:gridCol w:w="7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4" w:type="dxa"/>
            <w:vMerge w:val="restart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反语</w:t>
            </w:r>
          </w:p>
        </w:tc>
        <w:tc>
          <w:tcPr>
            <w:tcW w:w="1201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正话反说</w:t>
            </w:r>
          </w:p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7023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eg:当三个女子从容地辗转于文明人反文明的枪弹的攒射中的时候，这是怎样的一个惊心动魄的伟大啊！中国军人的屠戮妇婴的伟绩，八国联国惩创学生的武功，不幸全被这几缕血痕抹煞了。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4" w:type="dxa"/>
            <w:vMerge w:val="continue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反话正说</w:t>
            </w:r>
          </w:p>
        </w:tc>
        <w:tc>
          <w:tcPr>
            <w:tcW w:w="7023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eg:几个女人有点失望，有点伤心，各人在心里骂着自己的狠心贼。</w:t>
            </w:r>
          </w:p>
        </w:tc>
      </w:tr>
    </w:tbl>
    <w:p>
      <w:pPr>
        <w:pStyle w:val="3"/>
        <w:numPr>
          <w:ilvl w:val="0"/>
          <w:numId w:val="0"/>
        </w:numPr>
        <w:tabs>
          <w:tab w:val="left" w:pos="3402"/>
        </w:tabs>
        <w:snapToGrid w:val="0"/>
        <w:jc w:val="both"/>
        <w:rPr>
          <w:rFonts w:hint="eastAsia"/>
          <w:b/>
          <w:bCs/>
          <w:lang w:val="en-US" w:eastAsia="zh-CN"/>
        </w:rPr>
      </w:pPr>
    </w:p>
    <w:p>
      <w:pPr>
        <w:pStyle w:val="3"/>
        <w:numPr>
          <w:ilvl w:val="0"/>
          <w:numId w:val="0"/>
        </w:numPr>
        <w:tabs>
          <w:tab w:val="left" w:pos="3402"/>
        </w:tabs>
        <w:snapToGrid w:val="0"/>
        <w:ind w:firstLine="422" w:firstLineChars="20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3.通感</w:t>
      </w:r>
    </w:p>
    <w:p>
      <w:pPr>
        <w:pStyle w:val="3"/>
        <w:numPr>
          <w:ilvl w:val="0"/>
          <w:numId w:val="0"/>
        </w:numPr>
        <w:tabs>
          <w:tab w:val="left" w:pos="3402"/>
        </w:tabs>
        <w:snapToGrid w:val="0"/>
        <w:ind w:firstLine="420" w:firstLineChars="20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通感又叫“移觉”，是在描述客观事物时，用形象的语言使感觉转移，将人的视觉、嗅觉、味觉、触觉、听觉等不同感觉互相沟通、交错，彼此挪移转换，将本来表示甲感觉的词语移用来表示乙感觉，使意象更为活泼、新奇的一种修辞格式。</w:t>
      </w:r>
    </w:p>
    <w:p>
      <w:pPr>
        <w:pStyle w:val="3"/>
        <w:numPr>
          <w:ilvl w:val="0"/>
          <w:numId w:val="0"/>
        </w:numPr>
        <w:tabs>
          <w:tab w:val="left" w:pos="3402"/>
        </w:tabs>
        <w:snapToGrid w:val="0"/>
        <w:ind w:firstLine="420" w:firstLineChars="20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eg:</w:t>
      </w:r>
      <w:r>
        <w:rPr>
          <w:rFonts w:hint="default"/>
          <w:b w:val="0"/>
          <w:bCs w:val="0"/>
          <w:lang w:val="en-US" w:eastAsia="zh-CN"/>
        </w:rPr>
        <w:t>微风过处，送来缕缕清香，仿佛远处高楼上渺茫的歌似的。（朱自清《荷塘月色》）</w:t>
      </w:r>
    </w:p>
    <w:p>
      <w:pPr>
        <w:pStyle w:val="3"/>
        <w:numPr>
          <w:ilvl w:val="0"/>
          <w:numId w:val="0"/>
        </w:numPr>
        <w:tabs>
          <w:tab w:val="left" w:pos="3402"/>
        </w:tabs>
        <w:snapToGrid w:val="0"/>
        <w:ind w:firstLine="420" w:firstLineChars="20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eg:</w:t>
      </w:r>
      <w:r>
        <w:rPr>
          <w:rFonts w:hint="default"/>
          <w:b w:val="0"/>
          <w:bCs w:val="0"/>
          <w:lang w:val="en-US" w:eastAsia="zh-CN"/>
        </w:rPr>
        <w:t>那犀利明快的乐音，似银色星光的利箭。（雪莱《致云雀》）</w:t>
      </w:r>
    </w:p>
    <w:p>
      <w:pPr>
        <w:pStyle w:val="3"/>
        <w:numPr>
          <w:ilvl w:val="0"/>
          <w:numId w:val="0"/>
        </w:numPr>
        <w:tabs>
          <w:tab w:val="left" w:pos="3402"/>
        </w:tabs>
        <w:snapToGrid w:val="0"/>
        <w:ind w:firstLine="420" w:firstLineChars="20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作用：通感技巧的运用，能突破语言的局限，丰富表情达意的审美情趣，起到增强文采的艺术效果。</w:t>
      </w:r>
    </w:p>
    <w:p>
      <w:pPr>
        <w:pStyle w:val="3"/>
        <w:numPr>
          <w:ilvl w:val="0"/>
          <w:numId w:val="0"/>
        </w:numPr>
        <w:tabs>
          <w:tab w:val="left" w:pos="3402"/>
        </w:tabs>
        <w:snapToGrid w:val="0"/>
        <w:jc w:val="both"/>
        <w:rPr>
          <w:rFonts w:hint="default"/>
          <w:b w:val="0"/>
          <w:bCs w:val="0"/>
          <w:lang w:val="en-US" w:eastAsia="zh-CN"/>
        </w:rPr>
      </w:pPr>
    </w:p>
    <w:p>
      <w:pPr>
        <w:pStyle w:val="3"/>
        <w:numPr>
          <w:ilvl w:val="0"/>
          <w:numId w:val="0"/>
        </w:numPr>
        <w:tabs>
          <w:tab w:val="left" w:pos="3402"/>
        </w:tabs>
        <w:snapToGrid w:val="0"/>
        <w:ind w:firstLine="422" w:firstLineChars="20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4.双关</w:t>
      </w:r>
    </w:p>
    <w:p>
      <w:pPr>
        <w:pStyle w:val="3"/>
        <w:numPr>
          <w:ilvl w:val="0"/>
          <w:numId w:val="0"/>
        </w:numPr>
        <w:tabs>
          <w:tab w:val="left" w:pos="3402"/>
        </w:tabs>
        <w:snapToGrid w:val="0"/>
        <w:ind w:firstLine="420" w:firstLineChars="20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在一定的语言环境中，利用词的多义或同音的条件，有意使语句具有两种意思，言在此而意在彼，这一种修辞手法叫做双关。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065"/>
        <w:gridCol w:w="6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restart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双关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语义双关</w:t>
            </w:r>
          </w:p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583" w:type="dxa"/>
            <w:vAlign w:val="bottom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利用词的多义，有意使语句具有双重意义叫做意义双关。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33" w:type="dxa"/>
            <w:vMerge w:val="continue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583" w:type="dxa"/>
            <w:vAlign w:val="bottom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eg: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将那三春看破，桃红柳绿待如何？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“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三春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”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表面指暮春，内含元春、迎春、探春三人的境遇。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谐音双关</w:t>
            </w:r>
          </w:p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583" w:type="dxa"/>
            <w:vAlign w:val="bottom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利用词的同音，有意使语句具有双重意义叫谐音双关。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33" w:type="dxa"/>
            <w:vMerge w:val="continue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583" w:type="dxa"/>
            <w:vAlign w:val="bottom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eg: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东边日出西边雨，道是无晴却有晴。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“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晴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”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表面上是晴天的晴，内含感情的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“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情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”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。</w:t>
            </w:r>
          </w:p>
        </w:tc>
      </w:tr>
    </w:tbl>
    <w:p>
      <w:pPr>
        <w:pStyle w:val="3"/>
        <w:numPr>
          <w:ilvl w:val="0"/>
          <w:numId w:val="0"/>
        </w:numPr>
        <w:tabs>
          <w:tab w:val="left" w:pos="3402"/>
        </w:tabs>
        <w:snapToGrid w:val="0"/>
        <w:ind w:firstLine="420" w:firstLineChars="200"/>
        <w:jc w:val="both"/>
        <w:rPr>
          <w:rFonts w:hint="default"/>
          <w:b w:val="0"/>
          <w:bCs w:val="0"/>
          <w:lang w:val="en-US" w:eastAsia="zh-CN"/>
        </w:rPr>
      </w:pPr>
    </w:p>
    <w:p>
      <w:pPr>
        <w:pStyle w:val="3"/>
        <w:numPr>
          <w:ilvl w:val="0"/>
          <w:numId w:val="0"/>
        </w:numPr>
        <w:tabs>
          <w:tab w:val="left" w:pos="3402"/>
        </w:tabs>
        <w:snapToGrid w:val="0"/>
        <w:ind w:firstLine="422" w:firstLineChars="20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5.顶真</w:t>
      </w:r>
    </w:p>
    <w:p>
      <w:pPr>
        <w:pStyle w:val="3"/>
        <w:numPr>
          <w:ilvl w:val="0"/>
          <w:numId w:val="0"/>
        </w:numPr>
        <w:tabs>
          <w:tab w:val="left" w:pos="3402"/>
        </w:tabs>
        <w:snapToGrid w:val="0"/>
        <w:ind w:firstLine="420" w:firstLineChars="20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顶真（顶针），亦称联珠、蝉联，是指上句的结尾与下句的开头使用相同的字或词，用以修饰两句子的声韵的方法。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15"/>
        <w:gridCol w:w="6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顶真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连珠法</w:t>
            </w:r>
          </w:p>
        </w:tc>
        <w:tc>
          <w:tcPr>
            <w:tcW w:w="6748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指句与句之间的顶真。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748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eg: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归来见天子，天子坐明堂。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restart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连环体</w:t>
            </w:r>
          </w:p>
        </w:tc>
        <w:tc>
          <w:tcPr>
            <w:tcW w:w="6748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指段与段之间的顶真。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748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eg: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三后在天，王配于京。王配于京，世德作求。永言配命，成王之孚。成王之孚，下土之式。</w:t>
            </w:r>
          </w:p>
        </w:tc>
      </w:tr>
    </w:tbl>
    <w:p>
      <w:pPr>
        <w:pStyle w:val="3"/>
        <w:numPr>
          <w:ilvl w:val="0"/>
          <w:numId w:val="0"/>
        </w:numPr>
        <w:tabs>
          <w:tab w:val="left" w:pos="3402"/>
        </w:tabs>
        <w:snapToGrid w:val="0"/>
        <w:jc w:val="both"/>
        <w:rPr>
          <w:rFonts w:hint="default"/>
          <w:b w:val="0"/>
          <w:bCs w:val="0"/>
          <w:lang w:val="en-US" w:eastAsia="zh-CN"/>
        </w:rPr>
      </w:pPr>
    </w:p>
    <w:p>
      <w:pPr>
        <w:pStyle w:val="3"/>
        <w:numPr>
          <w:ilvl w:val="0"/>
          <w:numId w:val="0"/>
        </w:numPr>
        <w:tabs>
          <w:tab w:val="left" w:pos="3402"/>
        </w:tabs>
        <w:snapToGrid w:val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6.互文</w:t>
      </w:r>
    </w:p>
    <w:p>
      <w:pPr>
        <w:pStyle w:val="3"/>
        <w:numPr>
          <w:ilvl w:val="0"/>
          <w:numId w:val="0"/>
        </w:numPr>
        <w:tabs>
          <w:tab w:val="left" w:pos="3402"/>
        </w:tabs>
        <w:snapToGrid w:val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 w:val="0"/>
          <w:bCs w:val="0"/>
          <w:lang w:val="en-US" w:eastAsia="zh-CN"/>
        </w:rPr>
        <w:t>也叫互辞，是古诗文中常采用的一种修辞方法。是指上下两句或一句话中的两个部分，看似各说两件事，实则是互相呼应，互相阐发，互相补充，说的是一件事。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765"/>
        <w:gridCol w:w="6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restart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互文</w:t>
            </w:r>
          </w:p>
        </w:tc>
        <w:tc>
          <w:tcPr>
            <w:tcW w:w="765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单句</w:t>
            </w:r>
          </w:p>
        </w:tc>
        <w:tc>
          <w:tcPr>
            <w:tcW w:w="6913" w:type="dxa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eg: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烟笼寒水月笼沙。</w:t>
            </w:r>
          </w:p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eg: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秦时明月汉时关。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对句</w:t>
            </w:r>
          </w:p>
        </w:tc>
        <w:tc>
          <w:tcPr>
            <w:tcW w:w="6913" w:type="dxa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eg: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明月别枝惊鹊，清风半夜鸣蝉。</w:t>
            </w:r>
          </w:p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eg: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将军角弓不得控，都护铁衣冷难着。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隔句</w:t>
            </w:r>
          </w:p>
        </w:tc>
        <w:tc>
          <w:tcPr>
            <w:tcW w:w="6913" w:type="dxa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eg: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十旬休假，胜友如云；千里逢迎，高朋满座。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排句</w:t>
            </w:r>
          </w:p>
        </w:tc>
        <w:tc>
          <w:tcPr>
            <w:tcW w:w="6913" w:type="dxa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eg: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东市买骏马，西市买鞍鞯，南市买辔头，北市买长鞭。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对修辞</w:t>
      </w:r>
      <w:r>
        <w:rPr>
          <w:rFonts w:hint="eastAsia"/>
          <w:lang w:val="en-US" w:eastAsia="zh-CN"/>
        </w:rPr>
        <w:t>手法</w:t>
      </w:r>
      <w:r>
        <w:rPr>
          <w:rFonts w:hint="eastAsia"/>
        </w:rPr>
        <w:t>的考查也可以结合其他考点，这时主要是考查修辞</w:t>
      </w:r>
      <w:r>
        <w:rPr>
          <w:rFonts w:hint="eastAsia"/>
          <w:lang w:val="en-US" w:eastAsia="zh-CN"/>
        </w:rPr>
        <w:t>手法</w:t>
      </w:r>
      <w:r>
        <w:rPr>
          <w:rFonts w:hint="eastAsia"/>
        </w:rPr>
        <w:t>的具体应用，将其与仿写、改写、扩写、续写结合起来。如</w:t>
      </w:r>
      <w:r>
        <w:rPr>
          <w:rFonts w:hint="default" w:ascii="Times New Roman" w:hAnsi="Times New Roman" w:cs="Times New Roman"/>
        </w:rPr>
        <w:t>2019年</w:t>
      </w:r>
      <w:r>
        <w:rPr>
          <w:rFonts w:hint="eastAsia"/>
        </w:rPr>
        <w:t>《考试说明》</w:t>
      </w:r>
      <w:r>
        <w:rPr>
          <w:rFonts w:hint="eastAsia"/>
          <w:lang w:val="en-US" w:eastAsia="zh-CN"/>
        </w:rPr>
        <w:t>中</w:t>
      </w:r>
      <w:r>
        <w:rPr>
          <w:rFonts w:hint="eastAsia"/>
        </w:rPr>
        <w:t>的例题：“扩展下面的句子。要求使用两种以上的修辞手法，并保持原意。”还可以和</w:t>
      </w:r>
      <w:r>
        <w:rPr>
          <w:rFonts w:hint="eastAsia"/>
          <w:lang w:val="en-US" w:eastAsia="zh-CN"/>
        </w:rPr>
        <w:t>微</w:t>
      </w:r>
      <w:r>
        <w:rPr>
          <w:rFonts w:hint="eastAsia"/>
        </w:rPr>
        <w:t>写作结合起来，如北京卷</w:t>
      </w:r>
      <w:r>
        <w:rPr>
          <w:rFonts w:hint="eastAsia"/>
          <w:lang w:val="en-US" w:eastAsia="zh-CN"/>
        </w:rPr>
        <w:t>常</w:t>
      </w:r>
      <w:r>
        <w:rPr>
          <w:rFonts w:hint="eastAsia"/>
        </w:rPr>
        <w:t>要求写作诗歌或抒情类语段，也是常常要运用修辞</w:t>
      </w:r>
      <w:r>
        <w:rPr>
          <w:rFonts w:hint="eastAsia"/>
          <w:lang w:val="en-US" w:eastAsia="zh-CN"/>
        </w:rPr>
        <w:t>手法</w:t>
      </w:r>
      <w:r>
        <w:rPr>
          <w:rFonts w:hint="eastAsia"/>
        </w:rPr>
        <w:t>的。</w:t>
      </w:r>
    </w:p>
    <w:p>
      <w:pPr>
        <w:pStyle w:val="3"/>
        <w:tabs>
          <w:tab w:val="left" w:pos="3402"/>
        </w:tabs>
        <w:snapToGrid w:val="0"/>
        <w:jc w:val="both"/>
        <w:rPr>
          <w:rFonts w:hint="eastAsia"/>
        </w:rPr>
      </w:pPr>
      <w:r>
        <w:rPr>
          <w:rFonts w:hint="eastAsia"/>
        </w:rPr>
        <w:t>对修辞的考查还常常出现在诗歌鉴赏、文学作品阅读等阅读鉴赏题中，</w:t>
      </w:r>
      <w:r>
        <w:rPr>
          <w:rFonts w:hint="default" w:ascii="Times New Roman" w:hAnsi="Times New Roman" w:cs="Times New Roman"/>
        </w:rPr>
        <w:t>如2021年</w:t>
      </w:r>
      <w:r>
        <w:rPr>
          <w:rFonts w:hint="eastAsia"/>
        </w:rPr>
        <w:t>全国甲卷诗歌鉴赏中的一个选项为“颔联两句使用拟人的修辞手法，表现白云和流水对于曾巩出山的态度”，</w:t>
      </w:r>
      <w:r>
        <w:rPr>
          <w:rFonts w:hint="default" w:ascii="Times New Roman" w:hAnsi="Times New Roman" w:cs="Times New Roman"/>
        </w:rPr>
        <w:t>2021年新高考I卷</w:t>
      </w:r>
      <w:r>
        <w:rPr>
          <w:rFonts w:hint="eastAsia"/>
        </w:rPr>
        <w:t>文学作品阅读考了一道问答题：“王木匠讲石门阵时，多处使用反复手法，这种讲述方法有什么效果？”这类题目都有具体的情境和明确的要求，考生需要在掌握修辞手法的基础上，能够结合情境来分析或解答。</w:t>
      </w:r>
    </w:p>
    <w:p>
      <w:pPr>
        <w:pStyle w:val="3"/>
        <w:tabs>
          <w:tab w:val="left" w:pos="3402"/>
        </w:tabs>
        <w:snapToGrid w:val="0"/>
        <w:jc w:val="both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典例调研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</w:rPr>
        <w:t>1.</w:t>
      </w:r>
      <w:r>
        <w:rPr>
          <w:rFonts w:hint="eastAsia"/>
        </w:rPr>
        <w:t>对下列选项中运用修辞的解说不正确的一项是（   ）</w:t>
      </w:r>
    </w:p>
    <w:p>
      <w:pPr>
        <w:rPr>
          <w:rFonts w:hint="eastAsia"/>
        </w:rPr>
      </w:pPr>
      <w:r>
        <w:rPr>
          <w:rFonts w:hint="eastAsia"/>
        </w:rPr>
        <w:t>A.“主人下马客在船”一句运用互文手法，其意是主人和客人一起下马、登船。</w:t>
      </w:r>
    </w:p>
    <w:p>
      <w:pPr>
        <w:rPr>
          <w:rFonts w:hint="eastAsia"/>
        </w:rPr>
      </w:pPr>
      <w:r>
        <w:rPr>
          <w:rFonts w:hint="eastAsia"/>
        </w:rPr>
        <w:t>B.杜甫说“官应老病休”，其实是运用了反语，表达出诗人对被排挤的激愤之情。</w:t>
      </w:r>
    </w:p>
    <w:p>
      <w:pPr>
        <w:rPr>
          <w:rFonts w:hint="eastAsia"/>
        </w:rPr>
      </w:pPr>
      <w:r>
        <w:rPr>
          <w:rFonts w:hint="eastAsia"/>
        </w:rPr>
        <w:t>C.古人描写音乐声时常用通感手法，如“大珠小珠落玉盘”，给人强烈的视觉感。</w:t>
      </w:r>
    </w:p>
    <w:p>
      <w:pPr>
        <w:rPr>
          <w:rFonts w:hint="eastAsia"/>
        </w:rPr>
      </w:pPr>
      <w:r>
        <w:rPr>
          <w:rFonts w:hint="eastAsia"/>
        </w:rPr>
        <w:t>D.顶针指上句结尾与下句开头使用相同的字或词，如“秋色连波，波上寒烟翠”。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</w:rPr>
        <w:t>2.</w:t>
      </w:r>
      <w:r>
        <w:rPr>
          <w:rFonts w:hint="eastAsia"/>
        </w:rPr>
        <w:t>下面划线的句子语言较为平实，请改写为更有文采的句子，要求：</w:t>
      </w:r>
      <w:r>
        <w:rPr>
          <w:rFonts w:hint="eastAsia" w:ascii="宋体" w:hAnsi="宋体" w:cs="宋体"/>
        </w:rPr>
        <w:t>①</w:t>
      </w:r>
      <w:r>
        <w:rPr>
          <w:rFonts w:hint="eastAsia"/>
        </w:rPr>
        <w:t>不得改变原意；</w:t>
      </w:r>
      <w:r>
        <w:rPr>
          <w:rFonts w:hint="eastAsia" w:ascii="宋体" w:hAnsi="宋体" w:cs="宋体"/>
        </w:rPr>
        <w:t>②</w:t>
      </w:r>
      <w:r>
        <w:rPr>
          <w:rFonts w:hint="eastAsia"/>
        </w:rPr>
        <w:t>运用至少两种修辞。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楷体"/>
        </w:rPr>
      </w:pPr>
      <w:r>
        <w:rPr>
          <w:rFonts w:eastAsia="楷体"/>
        </w:rPr>
        <w:t>生命由快乐与痛苦共同组成</w:t>
      </w:r>
      <w:r>
        <w:rPr>
          <w:rFonts w:hint="eastAsia" w:eastAsia="楷体"/>
        </w:rPr>
        <w:t>。</w:t>
      </w:r>
      <w:r>
        <w:rPr>
          <w:rFonts w:hint="eastAsia" w:eastAsia="楷体"/>
          <w:u w:val="single"/>
        </w:rPr>
        <w:t>只有经历了痛苦的磨砺，才能感受到生命的快乐</w:t>
      </w:r>
      <w:r>
        <w:rPr>
          <w:rFonts w:hint="eastAsia" w:eastAsia="楷体"/>
        </w:rPr>
        <w:t>。</w:t>
      </w:r>
    </w:p>
    <w:p>
      <w:pPr>
        <w:pStyle w:val="2"/>
        <w:rPr>
          <w:rFonts w:hint="default" w:eastAsia="楷体"/>
          <w:u w:val="single"/>
          <w:lang w:val="en-US" w:eastAsia="zh-CN"/>
        </w:rPr>
      </w:pPr>
      <w:r>
        <w:rPr>
          <w:rFonts w:hint="eastAsia" w:eastAsia="楷体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楷体"/>
          <w:u w:val="single"/>
          <w:lang w:val="en-US" w:eastAsia="zh-CN"/>
        </w:rPr>
      </w:pPr>
      <w:r>
        <w:rPr>
          <w:rFonts w:hint="eastAsia" w:eastAsia="楷体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 w:eastAsia="楷体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</w:rPr>
        <w:t>3.</w:t>
      </w:r>
      <w:r>
        <w:t>请你扩展下面的这句诗。要求：</w:t>
      </w:r>
      <w:r>
        <w:rPr>
          <w:rFonts w:hint="eastAsia" w:ascii="宋体" w:hAnsi="宋体" w:cs="宋体"/>
        </w:rPr>
        <w:t>①</w:t>
      </w:r>
      <w:r>
        <w:t>展开想象与联想，写一个场景；</w:t>
      </w:r>
      <w:r>
        <w:rPr>
          <w:rFonts w:hint="eastAsia" w:ascii="宋体" w:hAnsi="宋体" w:cs="宋体"/>
        </w:rPr>
        <w:t>②</w:t>
      </w:r>
      <w:r>
        <w:t>至少使用两种修辞；</w:t>
      </w:r>
      <w:r>
        <w:rPr>
          <w:rFonts w:hint="eastAsia" w:ascii="宋体" w:hAnsi="宋体" w:cs="宋体"/>
        </w:rPr>
        <w:t>③</w:t>
      </w:r>
      <w:r>
        <w:t>语言生动；</w:t>
      </w:r>
      <w:r>
        <w:rPr>
          <w:rFonts w:hint="eastAsia" w:ascii="宋体" w:hAnsi="宋体" w:cs="宋体"/>
        </w:rPr>
        <w:t>④</w:t>
      </w:r>
      <w:r>
        <w:t>不少于50字。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绿柳才黄半未匀。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_GB2312" w:eastAsia="楷体_GB2312"/>
          <w:u w:val="single"/>
          <w:lang w:val="en-US" w:eastAsia="zh-CN"/>
        </w:rPr>
      </w:pPr>
      <w:r>
        <w:rPr>
          <w:rFonts w:hint="eastAsia" w:ascii="楷体_GB2312" w:eastAsia="楷体_GB2312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_GB2312" w:eastAsia="楷体_GB2312"/>
          <w:u w:val="single"/>
          <w:lang w:val="en-US" w:eastAsia="zh-CN"/>
        </w:rPr>
      </w:pPr>
      <w:r>
        <w:rPr>
          <w:rFonts w:hint="eastAsia" w:ascii="楷体_GB2312" w:eastAsia="楷体_GB2312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_GB2312" w:eastAsia="楷体_GB2312"/>
          <w:u w:val="single"/>
          <w:lang w:val="en-US" w:eastAsia="zh-CN"/>
        </w:rPr>
      </w:pPr>
      <w:r>
        <w:rPr>
          <w:rFonts w:hint="eastAsia" w:ascii="楷体_GB2312" w:eastAsia="楷体_GB2312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pStyle w:val="16"/>
        <w:numPr>
          <w:ilvl w:val="0"/>
          <w:numId w:val="0"/>
        </w:numP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4.仿照画线句的示例，续写两句话，要求语意连贯，修辞手法一致，句式与示例相同。</w:t>
      </w:r>
    </w:p>
    <w:p>
      <w:pPr>
        <w:pStyle w:val="17"/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生命是一种站起来的姿态。</w:t>
      </w:r>
    </w:p>
    <w:p>
      <w:pPr>
        <w:pStyle w:val="17"/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u w:val="single"/>
        </w:rPr>
        <w:t>礁石，在海浪的拍击中，耸立成伟岸的信念；</w:t>
      </w:r>
    </w:p>
    <w:p>
      <w:pPr>
        <w:pStyle w:val="17"/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u w:val="single"/>
        </w:rPr>
        <w:t>腊梅，在严寒的肆虐里，挺拔成芬芳的春意；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达标导练</w:t>
      </w:r>
    </w:p>
    <w:p>
      <w:pPr>
        <w:pStyle w:val="3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rPr>
          <w:rFonts w:hint="eastAsia" w:hAnsi="宋体"/>
          <w:b w:val="0"/>
          <w:bCs/>
          <w:szCs w:val="21"/>
          <w:lang w:val="en-US" w:eastAsia="zh-CN"/>
        </w:rPr>
      </w:pPr>
      <w:r>
        <w:rPr>
          <w:rFonts w:hint="eastAsia" w:hAnsi="宋体"/>
          <w:b w:val="0"/>
          <w:bCs/>
          <w:szCs w:val="21"/>
          <w:lang w:val="en-US" w:eastAsia="zh-CN"/>
        </w:rPr>
        <w:t>1.下面是某同学在教师节给老师写的感谢信的开头，请替该同学续写两句话，表达对老师的感谢之意。要求：使用比喻、反问的修辞手法，50个字左右。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b w:val="0"/>
          <w:bCs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Cs w:val="21"/>
          <w:lang w:val="en-US" w:eastAsia="zh-CN"/>
        </w:rPr>
        <w:t>老师，在这属于您的节日里，让我怎么感谢您？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" w:hAnsi="楷体" w:eastAsia="楷体" w:cs="楷体"/>
          <w:b w:val="0"/>
          <w:bCs/>
          <w:szCs w:val="21"/>
          <w:u w:val="single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Cs w:val="21"/>
          <w:u w:val="non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bCs/>
          <w:szCs w:val="21"/>
          <w:u w:val="single"/>
          <w:lang w:val="en-US" w:eastAsia="zh-CN"/>
        </w:rPr>
        <w:t xml:space="preserve">      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" w:hAnsi="楷体" w:eastAsia="楷体" w:cs="楷体"/>
          <w:b w:val="0"/>
          <w:bCs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Cs w:val="21"/>
          <w:u w:val="single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szCs w:val="21"/>
          <w:u w:val="single"/>
          <w:lang w:val="en-US" w:eastAsia="zh-CN"/>
        </w:rPr>
        <w:t xml:space="preserve">                                                       </w:t>
      </w:r>
    </w:p>
    <w:p>
      <w:pPr>
        <w:pStyle w:val="3"/>
        <w:snapToGrid w:val="0"/>
        <w:ind w:left="360" w:hanging="315" w:hangingChars="150"/>
        <w:rPr>
          <w:rFonts w:ascii="楷体" w:hAnsi="楷体" w:eastAsia="楷体" w:cs="Times New Roman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21"/>
          <w:szCs w:val="21"/>
        </w:rPr>
        <w:t>用排比的修辞方式，改写下面画线部分。要求：①句式一致；②字数相等；③与上文语意连贯；④不改变原意。</w:t>
      </w:r>
    </w:p>
    <w:p>
      <w:pPr>
        <w:pStyle w:val="3"/>
        <w:snapToGrid w:val="0"/>
        <w:ind w:firstLine="420" w:firstLineChars="200"/>
        <w:rPr>
          <w:rFonts w:hint="eastAsia" w:ascii="楷体" w:hAnsi="楷体" w:eastAsia="楷体" w:cs="Times New Roman"/>
          <w:sz w:val="21"/>
          <w:szCs w:val="21"/>
        </w:rPr>
      </w:pPr>
      <w:r>
        <w:rPr>
          <w:rFonts w:hint="eastAsia" w:ascii="楷体" w:hAnsi="楷体" w:eastAsia="楷体" w:cs="Times New Roman"/>
          <w:sz w:val="21"/>
          <w:szCs w:val="21"/>
        </w:rPr>
        <w:t>长途跋涉后</w:t>
      </w:r>
      <w:r>
        <w:rPr>
          <w:rFonts w:hint="eastAsia" w:ascii="楷体" w:hAnsi="楷体" w:eastAsia="楷体" w:cs="楷体_GB2312"/>
          <w:sz w:val="21"/>
          <w:szCs w:val="21"/>
        </w:rPr>
        <w:t>，</w:t>
      </w:r>
      <w:r>
        <w:rPr>
          <w:rFonts w:hint="eastAsia" w:ascii="楷体" w:hAnsi="楷体" w:eastAsia="楷体" w:cs="Times New Roman"/>
          <w:sz w:val="21"/>
          <w:szCs w:val="21"/>
        </w:rPr>
        <w:t>我终于在林中寻到这幽深澄碧的水潭。这潭水</w:t>
      </w:r>
      <w:r>
        <w:rPr>
          <w:rFonts w:hint="eastAsia" w:ascii="楷体" w:hAnsi="楷体" w:eastAsia="楷体" w:cs="楷体_GB2312"/>
          <w:sz w:val="21"/>
          <w:szCs w:val="21"/>
        </w:rPr>
        <w:t>，</w:t>
      </w:r>
      <w:r>
        <w:rPr>
          <w:rFonts w:hint="eastAsia" w:ascii="楷体" w:hAnsi="楷体" w:eastAsia="楷体" w:cs="Times New Roman"/>
          <w:sz w:val="21"/>
          <w:szCs w:val="21"/>
          <w:u w:val="single"/>
        </w:rPr>
        <w:t>可以将我的容颜映照在它明镜一般的水面上；我把这潭水当作激发我诗兴的佳酿；这潭水还可以成为我的墨池</w:t>
      </w:r>
      <w:r>
        <w:rPr>
          <w:rFonts w:hint="eastAsia" w:ascii="楷体" w:hAnsi="楷体" w:eastAsia="楷体" w:cs="楷体_GB2312"/>
          <w:sz w:val="21"/>
          <w:szCs w:val="21"/>
          <w:u w:val="single"/>
        </w:rPr>
        <w:t>，</w:t>
      </w:r>
      <w:r>
        <w:rPr>
          <w:rFonts w:hint="eastAsia" w:ascii="楷体" w:hAnsi="楷体" w:eastAsia="楷体" w:cs="Times New Roman"/>
          <w:sz w:val="21"/>
          <w:szCs w:val="21"/>
          <w:u w:val="single"/>
        </w:rPr>
        <w:t>供我笔走龙蛇</w:t>
      </w:r>
      <w:r>
        <w:rPr>
          <w:rFonts w:hint="eastAsia" w:ascii="楷体" w:hAnsi="楷体" w:eastAsia="楷体" w:cs="Times New Roman"/>
          <w:sz w:val="21"/>
          <w:szCs w:val="21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楷体" w:hAnsi="楷体" w:eastAsia="楷体" w:cs="Times New Roman"/>
          <w:sz w:val="21"/>
          <w:szCs w:val="21"/>
          <w:u w:val="single"/>
          <w:lang w:val="en-US" w:eastAsia="zh-CN"/>
        </w:rPr>
      </w:pPr>
      <w:r>
        <w:rPr>
          <w:rFonts w:hint="eastAsia" w:ascii="楷体" w:hAnsi="楷体" w:eastAsia="楷体" w:cs="Times New Roman"/>
          <w:sz w:val="21"/>
          <w:szCs w:val="21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" w:hAnsi="楷体" w:eastAsia="楷体" w:cs="Times New Roman"/>
          <w:sz w:val="21"/>
          <w:szCs w:val="21"/>
          <w:u w:val="single"/>
          <w:lang w:val="en-US" w:eastAsia="zh-CN"/>
        </w:rPr>
      </w:pPr>
      <w:r>
        <w:rPr>
          <w:rFonts w:hint="eastAsia" w:ascii="楷体" w:hAnsi="楷体" w:eastAsia="楷体" w:cs="Times New Roman"/>
          <w:sz w:val="21"/>
          <w:szCs w:val="21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" w:hAnsi="楷体" w:eastAsia="楷体" w:cs="Times New Roman"/>
          <w:sz w:val="21"/>
          <w:szCs w:val="21"/>
        </w:rPr>
      </w:pPr>
      <w:r>
        <w:rPr>
          <w:rFonts w:hint="eastAsia" w:ascii="楷体" w:hAnsi="楷体" w:eastAsia="楷体" w:cs="Times New Roman"/>
          <w:sz w:val="21"/>
          <w:szCs w:val="21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adjustRightInd w:val="0"/>
        <w:snapToGrid w:val="0"/>
        <w:spacing w:line="240" w:lineRule="atLeast"/>
        <w:ind w:left="480" w:hanging="420" w:hanging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调整语段中画线的句子，使之句式一致，本体、喻体搭配合理。（可调整语序，增删个别词语）</w:t>
      </w:r>
    </w:p>
    <w:p>
      <w:pPr>
        <w:adjustRightInd w:val="0"/>
        <w:snapToGrid w:val="0"/>
        <w:spacing w:line="240" w:lineRule="atLeast"/>
        <w:ind w:firstLine="420" w:firstLineChars="200"/>
        <w:rPr>
          <w:rFonts w:hint="eastAsia"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我常常趴在檐下听雨，</w:t>
      </w:r>
      <w:r>
        <w:rPr>
          <w:rFonts w:hint="eastAsia" w:ascii="楷体" w:hAnsi="楷体" w:eastAsia="楷体"/>
          <w:sz w:val="21"/>
          <w:szCs w:val="21"/>
          <w:u w:val="single"/>
        </w:rPr>
        <w:t>雨声轻灵，是微风里孩子们温暖的耳语；雨声像山沟里柳阴下激石的溪水般清脆；雨声舒缓得像黄昏里泉台上栖息的蜻蜓</w:t>
      </w:r>
      <w:r>
        <w:rPr>
          <w:rFonts w:hint="eastAsia" w:ascii="楷体" w:hAnsi="楷体" w:eastAsia="楷体"/>
          <w:sz w:val="21"/>
          <w:szCs w:val="21"/>
          <w:u w:val="single"/>
        </w:rPr>
        <w:drawing>
          <wp:inline distT="0" distB="0" distL="114300" distR="114300">
            <wp:extent cx="19050" cy="9525"/>
            <wp:effectExtent l="0" t="0" r="0" b="0"/>
            <wp:docPr id="8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/>
          <w:sz w:val="21"/>
          <w:szCs w:val="21"/>
          <w:u w:val="single"/>
        </w:rPr>
        <w:t>的翅膀，</w:t>
      </w:r>
      <w:r>
        <w:rPr>
          <w:rFonts w:hint="eastAsia" w:ascii="楷体" w:hAnsi="楷体" w:eastAsia="楷体"/>
          <w:sz w:val="21"/>
          <w:szCs w:val="21"/>
        </w:rPr>
        <w:t>那种特别的感觉一声一声圈占了我的心。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/>
          <w:sz w:val="21"/>
          <w:szCs w:val="21"/>
          <w:u w:val="single"/>
          <w:lang w:val="en-US" w:eastAsia="zh-CN"/>
        </w:rPr>
      </w:pPr>
      <w:r>
        <w:rPr>
          <w:rFonts w:hint="eastAsia" w:ascii="楷体" w:hAnsi="楷体" w:eastAsia="楷体"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 w:ascii="楷体" w:hAnsi="楷体" w:eastAsia="楷体"/>
          <w:sz w:val="21"/>
          <w:szCs w:val="21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/>
          <w:sz w:val="21"/>
          <w:szCs w:val="21"/>
          <w:u w:val="single"/>
          <w:lang w:val="en-US" w:eastAsia="zh-CN"/>
        </w:rPr>
      </w:pPr>
      <w:r>
        <w:rPr>
          <w:rFonts w:hint="eastAsia" w:ascii="楷体" w:hAnsi="楷体" w:eastAsia="楷体"/>
          <w:sz w:val="21"/>
          <w:szCs w:val="21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 w:ascii="楷体" w:hAnsi="楷体" w:eastAsia="楷体"/>
          <w:sz w:val="21"/>
          <w:szCs w:val="21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 w:ascii="Times New Roman" w:hAnsi="Times New Roman" w:eastAsia="楷体" w:cs="Times New Roman"/>
          <w:lang w:val="en-US" w:eastAsia="zh-CN"/>
        </w:rPr>
        <w:t>4..</w:t>
      </w:r>
      <w:r>
        <w:rPr>
          <w:rFonts w:hint="eastAsia"/>
        </w:rPr>
        <w:t>以下列句子为开头，续写一段话，要求不少于</w:t>
      </w:r>
      <w:r>
        <w:rPr>
          <w:rFonts w:hint="default" w:ascii="Times New Roman" w:hAnsi="Times New Roman" w:cs="Times New Roman"/>
        </w:rPr>
        <w:t>50</w:t>
      </w:r>
      <w:r>
        <w:rPr>
          <w:rFonts w:hint="eastAsia"/>
        </w:rPr>
        <w:t>字，至少运用两种修辞。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大地之上，每个人背着负担，不卑不亢地前行。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Times New Roman" w:hAnsi="Times New Roman"/>
          <w:color w:val="auto"/>
          <w:highlight w:val="none"/>
          <w:u w:val="single"/>
        </w:rPr>
      </w:pPr>
      <w:r>
        <w:rPr>
          <w:rFonts w:hint="eastAsia" w:ascii="Times New Roman" w:hAnsi="Times New Roman"/>
          <w:color w:val="auto"/>
          <w:highlight w:val="none"/>
          <w:u w:val="single"/>
        </w:rPr>
        <w:t xml:space="preserve">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  <w:color w:val="auto"/>
          <w:highlight w:val="none"/>
          <w:u w:val="single"/>
        </w:rPr>
      </w:pPr>
      <w:r>
        <w:rPr>
          <w:rFonts w:hint="eastAsia" w:ascii="Times New Roman" w:hAnsi="Times New Roman"/>
          <w:color w:val="auto"/>
          <w:highlight w:val="none"/>
          <w:u w:val="single"/>
        </w:rPr>
        <w:t xml:space="preserve">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 w:ascii="Times New Roman" w:hAnsi="Times New Roman"/>
          <w:color w:val="auto"/>
          <w:highlight w:val="none"/>
          <w:u w:val="single"/>
          <w:lang w:val="en-US" w:eastAsia="zh-CN"/>
        </w:rPr>
        <w:t xml:space="preserve">                                                    </w:t>
      </w:r>
      <w:r>
        <w:rPr>
          <w:rFonts w:hint="eastAsia" w:ascii="Times New Roman" w:hAnsi="Times New Roman"/>
          <w:color w:val="auto"/>
          <w:highlight w:val="none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</w:p>
    <w:p>
      <w:pPr>
        <w:pStyle w:val="3"/>
        <w:tabs>
          <w:tab w:val="left" w:pos="6660"/>
        </w:tabs>
        <w:adjustRightInd w:val="0"/>
        <w:snapToGrid w:val="0"/>
        <w:ind w:firstLine="481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>
      <w:pPr>
        <w:pStyle w:val="3"/>
        <w:tabs>
          <w:tab w:val="left" w:pos="6660"/>
        </w:tabs>
        <w:adjustRightInd w:val="0"/>
        <w:snapToGrid w:val="0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>
      <w:pPr>
        <w:pStyle w:val="3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rPr>
          <w:rFonts w:hint="default" w:hAnsi="宋体"/>
          <w:b w:val="0"/>
          <w:bCs/>
          <w:szCs w:val="21"/>
          <w:lang w:val="en-US" w:eastAsia="zh-CN"/>
        </w:rPr>
      </w:pPr>
    </w:p>
    <w:p>
      <w:pPr>
        <w:pStyle w:val="3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rPr>
          <w:rFonts w:hint="default" w:hAnsi="宋体"/>
          <w:b/>
          <w:szCs w:val="21"/>
          <w:lang w:val="en-US" w:eastAsia="zh-CN"/>
        </w:rPr>
      </w:pPr>
    </w:p>
    <w:p>
      <w:pPr>
        <w:pStyle w:val="3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rPr>
          <w:rFonts w:hint="default" w:hAnsi="宋体"/>
          <w:b/>
          <w:szCs w:val="21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0433" w:h="14742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BC171A"/>
    <w:multiLevelType w:val="singleLevel"/>
    <w:tmpl w:val="0CBC171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623126"/>
    <w:multiLevelType w:val="singleLevel"/>
    <w:tmpl w:val="5C6231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5024B91"/>
    <w:multiLevelType w:val="multilevel"/>
    <w:tmpl w:val="65024B91"/>
    <w:lvl w:ilvl="0" w:tentative="0">
      <w:start w:val="1"/>
      <w:numFmt w:val="decimal"/>
      <w:suff w:val="space"/>
      <w:lvlText w:val="%1."/>
      <w:lvlJc w:val="right"/>
      <w:pPr>
        <w:ind w:left="454" w:hanging="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82966EB"/>
    <w:multiLevelType w:val="singleLevel"/>
    <w:tmpl w:val="682966E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4BA93DA"/>
    <w:multiLevelType w:val="singleLevel"/>
    <w:tmpl w:val="74BA93D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  <w:lvlOverride w:ilvl="0">
      <w:lvl w:ilvl="0" w:tentative="1">
        <w:start w:val="1"/>
        <w:numFmt w:val="decimal"/>
        <w:pStyle w:val="16"/>
        <w:suff w:val="space"/>
        <w:lvlText w:val="%1."/>
        <w:lvlJc w:val="right"/>
        <w:pPr>
          <w:ind w:left="397" w:firstLine="0"/>
        </w:pPr>
        <w:rPr>
          <w:rFonts w:hint="eastAsia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5C3212"/>
    <w:rsid w:val="00073612"/>
    <w:rsid w:val="00293D78"/>
    <w:rsid w:val="00354B7D"/>
    <w:rsid w:val="005618DB"/>
    <w:rsid w:val="005C3212"/>
    <w:rsid w:val="008A06A7"/>
    <w:rsid w:val="00B55062"/>
    <w:rsid w:val="00CA5EA1"/>
    <w:rsid w:val="00D20548"/>
    <w:rsid w:val="05A736DF"/>
    <w:rsid w:val="08F43121"/>
    <w:rsid w:val="0958005D"/>
    <w:rsid w:val="0B19063D"/>
    <w:rsid w:val="0DAE46EF"/>
    <w:rsid w:val="0DCF7655"/>
    <w:rsid w:val="13A75E69"/>
    <w:rsid w:val="17FC0062"/>
    <w:rsid w:val="1A2A3C08"/>
    <w:rsid w:val="1C1F7909"/>
    <w:rsid w:val="1C604E5D"/>
    <w:rsid w:val="1DEB1048"/>
    <w:rsid w:val="203B663B"/>
    <w:rsid w:val="20AC1E33"/>
    <w:rsid w:val="22C3412F"/>
    <w:rsid w:val="22FF35CB"/>
    <w:rsid w:val="256010B9"/>
    <w:rsid w:val="25BE6DBE"/>
    <w:rsid w:val="26872422"/>
    <w:rsid w:val="28C66939"/>
    <w:rsid w:val="2C1B6F9C"/>
    <w:rsid w:val="335B3888"/>
    <w:rsid w:val="33A61841"/>
    <w:rsid w:val="374A0CDE"/>
    <w:rsid w:val="3DCE46D1"/>
    <w:rsid w:val="469D6AD4"/>
    <w:rsid w:val="493145DA"/>
    <w:rsid w:val="4B23778F"/>
    <w:rsid w:val="4CAF30F7"/>
    <w:rsid w:val="4D7D1567"/>
    <w:rsid w:val="4D832570"/>
    <w:rsid w:val="4FAC3DDA"/>
    <w:rsid w:val="56576C9F"/>
    <w:rsid w:val="578735B4"/>
    <w:rsid w:val="57EC2957"/>
    <w:rsid w:val="593A6404"/>
    <w:rsid w:val="5B7F2EDE"/>
    <w:rsid w:val="5C1967A5"/>
    <w:rsid w:val="5D591004"/>
    <w:rsid w:val="5E980EDC"/>
    <w:rsid w:val="5EC46E9C"/>
    <w:rsid w:val="609F1AA1"/>
    <w:rsid w:val="61092FFD"/>
    <w:rsid w:val="61810F1F"/>
    <w:rsid w:val="627E55B4"/>
    <w:rsid w:val="62C633D9"/>
    <w:rsid w:val="63493E13"/>
    <w:rsid w:val="653463FD"/>
    <w:rsid w:val="6A2E5B11"/>
    <w:rsid w:val="6B3C09F2"/>
    <w:rsid w:val="6BDA728F"/>
    <w:rsid w:val="6C682146"/>
    <w:rsid w:val="6F667AFB"/>
    <w:rsid w:val="714300F4"/>
    <w:rsid w:val="745D3010"/>
    <w:rsid w:val="77092176"/>
    <w:rsid w:val="793A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Plain Text"/>
    <w:basedOn w:val="1"/>
    <w:link w:val="15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纯文本 Char"/>
    <w:basedOn w:val="9"/>
    <w:link w:val="3"/>
    <w:qFormat/>
    <w:uiPriority w:val="0"/>
    <w:rPr>
      <w:rFonts w:ascii="宋体" w:hAnsi="Courier New" w:eastAsia="宋体" w:cs="Times New Roman"/>
      <w:szCs w:val="20"/>
    </w:rPr>
  </w:style>
  <w:style w:type="paragraph" w:customStyle="1" w:styleId="16">
    <w:name w:val="questionStem"/>
    <w:basedOn w:val="14"/>
    <w:next w:val="17"/>
    <w:qFormat/>
    <w:uiPriority w:val="0"/>
    <w:pPr>
      <w:numPr>
        <w:ilvl w:val="0"/>
        <w:numId w:val="1"/>
      </w:numPr>
      <w:spacing w:line="276" w:lineRule="auto"/>
      <w:ind w:firstLineChars="0"/>
    </w:pPr>
  </w:style>
  <w:style w:type="paragraph" w:customStyle="1" w:styleId="17">
    <w:name w:val="questionStemFollow"/>
    <w:basedOn w:val="1"/>
    <w:qFormat/>
    <w:uiPriority w:val="0"/>
    <w:pPr>
      <w:spacing w:line="276" w:lineRule="auto"/>
      <w:ind w:left="397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513</Words>
  <Characters>2928</Characters>
  <Lines>24</Lines>
  <Paragraphs>6</Paragraphs>
  <TotalTime>7</TotalTime>
  <ScaleCrop>false</ScaleCrop>
  <LinksUpToDate>false</LinksUpToDate>
  <CharactersWithSpaces>3435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2022-07-02T00:25:00Z</dcterms:created>
  <dc:creator>Windows 用户</dc:creator>
  <cp:lastModifiedBy>童妈咪</cp:lastModifiedBy>
  <dcterms:modified xsi:type="dcterms:W3CDTF">2022-07-03T07:09:41Z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69D42E46444746E88B63033F593362CC</vt:lpwstr>
  </property>
</Properties>
</file>