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/>
          <w:b/>
          <w:bCs/>
          <w:color w:val="464646"/>
          <w:sz w:val="32"/>
          <w:szCs w:val="32"/>
          <w:lang w:val="en-US" w:eastAsia="zh-CN"/>
        </w:rPr>
        <w:t>高三语文期中默写（综合1）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/>
          <w:b/>
          <w:bCs/>
          <w:color w:val="464646"/>
          <w:sz w:val="21"/>
          <w:szCs w:val="21"/>
          <w:lang w:val="en-US" w:eastAsia="zh-CN"/>
        </w:rPr>
      </w:pPr>
      <w:r>
        <w:rPr>
          <w:rFonts w:hint="eastAsia"/>
          <w:b/>
          <w:bCs/>
          <w:color w:val="464646"/>
          <w:sz w:val="21"/>
          <w:szCs w:val="21"/>
          <w:lang w:val="en-US" w:eastAsia="zh-CN"/>
        </w:rPr>
        <w:t>范围：文言前5、诗词曲前10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1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、古诗文中的“情”丰厚了华夏文明，滋润了民族精神，如《静女》中,表面上赞美管箫之美,实际上是赞叹女子之美的句子是: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  ”；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《离骚》中的“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”表达了屈原对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劝导君王积极从政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的执着精神；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《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涉江采芙蓉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》中写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两个相思相爱的人不能相聚相守的句子:“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color w:val="0000FF"/>
          <w:sz w:val="21"/>
          <w:szCs w:val="21"/>
          <w:u w:val="none"/>
          <w:lang w:val="en-US" w:eastAsia="zh-CN"/>
        </w:rPr>
        <w:t>”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《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归园田居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》中的“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”表达了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陶渊明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对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久在官场终得回归田园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的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喜悦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情怀；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鲍照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《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拟行路难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》中的“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”表达了对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人生无常的感慨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2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、李白在诗歌中爱用多种手法表情达意，如《蜀道难》中“ 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”借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善飞善攀动物都难越过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反衬山势的高危；“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 xml:space="preserve"> ”用神话传说来传达蜀道开辟之艰；“</w:t>
      </w:r>
      <w:r>
        <w:rPr>
          <w:rFonts w:hint="default"/>
          <w:b/>
          <w:bCs/>
          <w:color w:val="0000FF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/>
          <w:bCs/>
          <w:color w:val="0000FF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”用人的神态从侧面衬托蜀道的高俊。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3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、“鸟”在古典诗词之中，会被诗人在不同的心境下赋予不同的情感色彩。“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”让曹操的求贤建功之心彰著天下； 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”是李白对蜀道之难的摹画；“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”是杜甫对夔门秋色的描摹；“庄生晓梦迷蝴蝶，望帝春心托杜鹃”是李商隐对美好爱情的寄托。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4、孔子认为君子之道主要有三个方面,这三方面分别是: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 xml:space="preserve"> ,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/>
          <w:b/>
          <w:bCs/>
          <w:color w:val="0000FF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color w:val="464646"/>
          <w:sz w:val="21"/>
          <w:szCs w:val="21"/>
          <w:u w:val="none"/>
          <w:lang w:val="en-US" w:eastAsia="zh-CN"/>
        </w:rPr>
        <w:t>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color w:val="0000FF"/>
          <w:sz w:val="21"/>
          <w:szCs w:val="21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5、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在《屈原列传》中,司马迁对《诗经》里的《国风》和《小雅》进行了评价的句子是:“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color w:val="464646"/>
          <w:sz w:val="21"/>
          <w:szCs w:val="21"/>
          <w:u w:val="none"/>
          <w:lang w:val="en-US" w:eastAsia="zh-CN"/>
        </w:rPr>
        <w:t>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color w:val="464646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1"/>
          <w:szCs w:val="21"/>
          <w:u w:val="none"/>
          <w:lang w:val="en-US" w:eastAsia="zh-CN"/>
        </w:rPr>
        <w:t>。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6、《谏太宗十思疏》中用“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color w:val="464646"/>
          <w:sz w:val="21"/>
          <w:szCs w:val="21"/>
          <w:u w:val="none"/>
          <w:lang w:val="en-US" w:eastAsia="zh-CN"/>
        </w:rPr>
        <w:t>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”说明人们开始都能做得很好，但很少能坚持到最后。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464646"/>
          <w:sz w:val="21"/>
          <w:szCs w:val="21"/>
          <w:lang w:val="en-US" w:eastAsia="zh-CN"/>
        </w:rPr>
        <w:t>7、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文人学者为了表明志向寄托情怀，常从名篇佳句中选字取意，命名书屋或居室。如柳亚子有一书房曰“磨剑室”，即取意于贾岛的诗句“十年磨一剑，霜刃未曾试”。请判断下列书屋名称取意于哪些名句。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（1）“十驾斋”取意于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color w:val="464646"/>
          <w:sz w:val="21"/>
          <w:szCs w:val="21"/>
          <w:u w:val="none"/>
          <w:lang w:val="en-US" w:eastAsia="zh-CN"/>
        </w:rPr>
        <w:t>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（2）“鍥斋”取意于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color w:val="464646"/>
          <w:sz w:val="21"/>
          <w:szCs w:val="21"/>
          <w:u w:val="none"/>
          <w:lang w:val="en-US" w:eastAsia="zh-CN"/>
        </w:rPr>
        <w:t>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  <w:t>（3）“人镜庐”取意于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color w:val="464646"/>
          <w:sz w:val="21"/>
          <w:szCs w:val="21"/>
          <w:u w:val="none"/>
          <w:lang w:val="en-US" w:eastAsia="zh-CN"/>
        </w:rPr>
        <w:t>,</w:t>
      </w:r>
      <w:r>
        <w:rPr>
          <w:rFonts w:hint="eastAsia"/>
          <w:b w:val="0"/>
          <w:bCs w:val="0"/>
          <w:color w:val="464646"/>
          <w:sz w:val="21"/>
          <w:szCs w:val="21"/>
          <w:u w:val="single"/>
          <w:lang w:val="en-US" w:eastAsia="zh-CN"/>
        </w:rPr>
        <w:t xml:space="preserve">               </w:t>
      </w:r>
      <w:bookmarkStart w:id="0" w:name="_GoBack"/>
      <w:bookmarkEnd w:id="0"/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75" w:afterAutospacing="0" w:line="360" w:lineRule="auto"/>
        <w:jc w:val="both"/>
        <w:rPr>
          <w:rFonts w:hint="default"/>
          <w:b w:val="0"/>
          <w:bCs w:val="0"/>
          <w:color w:val="464646"/>
          <w:sz w:val="21"/>
          <w:szCs w:val="21"/>
          <w:lang w:val="en-US" w:eastAsia="zh-CN"/>
        </w:rPr>
      </w:pPr>
    </w:p>
    <w:sectPr>
      <w:pgSz w:w="10431" w:h="147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TYzOTA0MGQ3ODhhMmZiMjQxMmJlYTRiYTBmMmMifQ=="/>
  </w:docVars>
  <w:rsids>
    <w:rsidRoot w:val="18C971F9"/>
    <w:rsid w:val="18C971F9"/>
    <w:rsid w:val="5AA932FA"/>
    <w:rsid w:val="5E02772F"/>
    <w:rsid w:val="73B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845</Words>
  <Characters>846</Characters>
  <Lines>0</Lines>
  <Paragraphs>0</Paragraphs>
  <TotalTime>1</TotalTime>
  <ScaleCrop>false</ScaleCrop>
  <LinksUpToDate>false</LinksUpToDate>
  <CharactersWithSpaces>858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2021-10-20T01:15:00Z</dcterms:created>
  <dc:creator>风信子</dc:creator>
  <cp:lastModifiedBy>Administrator</cp:lastModifiedBy>
  <dcterms:modified xsi:type="dcterms:W3CDTF">2022-10-17T02:58:52Z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6F055D7B43EC495694081D896E97E7F4</vt:lpwstr>
  </property>
</Properties>
</file>