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bCs/>
          <w:i w:val="0"/>
          <w:sz w:val="28"/>
          <w:szCs w:val="28"/>
        </w:rPr>
      </w:pPr>
      <w:r>
        <w:rPr>
          <w:rFonts w:hint="eastAsia" w:ascii="黑体" w:hAnsi="黑体" w:eastAsia="黑体" w:cs="黑体"/>
          <w:b/>
          <w:bCs/>
          <w:sz w:val="28"/>
          <w:szCs w:val="28"/>
        </w:rPr>
        <w:drawing>
          <wp:inline distT="0" distB="0" distL="114300" distR="114300">
            <wp:extent cx="12700" cy="12700"/>
            <wp:effectExtent l="0" t="0" r="6350" b="127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hint="eastAsia" w:ascii="黑体" w:hAnsi="黑体" w:eastAsia="黑体" w:cs="黑体"/>
          <w:b/>
          <w:bCs/>
          <w:i w:val="0"/>
          <w:sz w:val="28"/>
          <w:szCs w:val="28"/>
        </w:rPr>
        <w:t>江苏省仪征中学2021级高三政治假期综合练（二）</w:t>
      </w:r>
    </w:p>
    <w:p>
      <w:pPr>
        <w:jc w:val="center"/>
        <w:textAlignment w:val="center"/>
        <w:rPr>
          <w:rFonts w:ascii="黑体" w:hAnsi="黑体" w:eastAsia="黑体" w:cs="黑体"/>
          <w:b/>
          <w:i w:val="0"/>
          <w:sz w:val="28"/>
          <w:szCs w:val="28"/>
        </w:rPr>
      </w:pPr>
      <w:r>
        <w:rPr>
          <w:rFonts w:ascii="黑体" w:hAnsi="黑体" w:eastAsia="黑体" w:cs="黑体"/>
          <w:b/>
          <w:i w:val="0"/>
          <w:sz w:val="28"/>
          <w:szCs w:val="28"/>
        </w:rPr>
        <w:t>必修2《经济与社会》</w:t>
      </w:r>
      <w:r>
        <w:rPr>
          <w:rFonts w:hint="eastAsia" w:ascii="黑体" w:hAnsi="黑体" w:eastAsia="黑体" w:cs="黑体"/>
          <w:b/>
          <w:i w:val="0"/>
          <w:sz w:val="28"/>
          <w:szCs w:val="28"/>
          <w:lang w:val="en-US" w:eastAsia="zh-CN"/>
        </w:rPr>
        <w:t>+</w:t>
      </w:r>
      <w:r>
        <w:rPr>
          <w:rFonts w:ascii="黑体" w:hAnsi="黑体" w:eastAsia="黑体" w:cs="黑体"/>
          <w:b/>
          <w:i w:val="0"/>
          <w:sz w:val="28"/>
          <w:szCs w:val="28"/>
        </w:rPr>
        <w:t>选必3《逻辑与思维》</w:t>
      </w:r>
    </w:p>
    <w:p>
      <w:pPr>
        <w:spacing w:line="300" w:lineRule="auto"/>
        <w:ind w:firstLine="960" w:firstLineChars="400"/>
        <w:jc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解晓玲</w:t>
      </w:r>
      <w:r>
        <w:rPr>
          <w:rFonts w:ascii="楷体" w:hAnsi="楷体" w:eastAsia="楷体" w:cs="楷体"/>
          <w:color w:val="000000"/>
          <w:kern w:val="0"/>
          <w:sz w:val="24"/>
          <w:lang w:bidi="ar"/>
        </w:rPr>
        <w:t xml:space="preserve">     </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w:t>
      </w:r>
      <w:r>
        <w:rPr>
          <w:rFonts w:ascii="楷体" w:hAnsi="楷体" w:eastAsia="楷体" w:cs="楷体"/>
          <w:color w:val="000000"/>
          <w:kern w:val="0"/>
          <w:sz w:val="24"/>
          <w:lang w:bidi="ar"/>
        </w:rPr>
        <w:t xml:space="preserve">     </w:t>
      </w:r>
      <w:r>
        <w:rPr>
          <w:rFonts w:hint="eastAsia" w:ascii="楷体" w:hAnsi="楷体" w:eastAsia="楷体" w:cs="楷体"/>
          <w:color w:val="000000"/>
          <w:kern w:val="0"/>
          <w:sz w:val="24"/>
          <w:lang w:bidi="ar"/>
        </w:rPr>
        <w:t xml:space="preserve">  完成时长</w:t>
      </w:r>
      <w:r>
        <w:rPr>
          <w:rFonts w:hint="eastAsia" w:ascii="楷体" w:hAnsi="楷体" w:eastAsia="楷体" w:cs="楷体"/>
          <w:color w:val="000000"/>
          <w:kern w:val="0"/>
          <w:sz w:val="24"/>
          <w:lang w:val="en-US" w:eastAsia="zh-CN" w:bidi="ar"/>
        </w:rPr>
        <w:t>:</w:t>
      </w:r>
      <w:r>
        <w:rPr>
          <w:rFonts w:ascii="楷体" w:hAnsi="楷体" w:eastAsia="楷体" w:cs="楷体"/>
          <w:color w:val="000000"/>
          <w:kern w:val="0"/>
          <w:sz w:val="24"/>
          <w:lang w:bidi="ar"/>
        </w:rPr>
        <w:t>75</w:t>
      </w:r>
      <w:r>
        <w:rPr>
          <w:rFonts w:hint="eastAsia" w:ascii="楷体" w:hAnsi="楷体" w:eastAsia="楷体" w:cs="楷体"/>
          <w:color w:val="000000"/>
          <w:kern w:val="0"/>
          <w:sz w:val="24"/>
          <w:lang w:bidi="ar"/>
        </w:rPr>
        <w:t>分钟</w:t>
      </w:r>
    </w:p>
    <w:p>
      <w:pPr>
        <w:spacing w:line="300" w:lineRule="auto"/>
        <w:ind w:firstLine="1680" w:firstLineChars="700"/>
        <w:rPr>
          <w:rFonts w:ascii="Calibri" w:hAnsi="Calibri" w:eastAsia="楷体"/>
          <w:u w:val="thick"/>
        </w:rPr>
      </w:pPr>
      <w:r>
        <w:rPr>
          <w:rFonts w:hint="eastAsia" w:ascii="楷体" w:hAnsi="楷体" w:eastAsia="楷体" w:cs="楷体"/>
          <w:color w:val="000000"/>
          <w:kern w:val="0"/>
          <w:sz w:val="24"/>
          <w:lang w:bidi="ar"/>
        </w:rPr>
        <w:t>班级：</w:t>
      </w:r>
      <w:r>
        <w:rPr>
          <w:rFonts w:hint="eastAsia" w:ascii="楷体" w:hAnsi="楷体" w:eastAsia="楷体" w:cs="楷体"/>
          <w:color w:val="000000"/>
          <w:kern w:val="0"/>
          <w:sz w:val="24"/>
          <w:u w:val="thick"/>
          <w:lang w:bidi="ar"/>
        </w:rPr>
        <w:t xml:space="preserve">            </w:t>
      </w:r>
      <w:r>
        <w:rPr>
          <w:rFonts w:hint="eastAsia" w:ascii="楷体" w:hAnsi="楷体" w:eastAsia="楷体" w:cs="楷体"/>
          <w:color w:val="000000"/>
          <w:kern w:val="0"/>
          <w:sz w:val="24"/>
          <w:lang w:bidi="ar"/>
        </w:rPr>
        <w:t xml:space="preserve">     姓名：</w:t>
      </w:r>
      <w:r>
        <w:rPr>
          <w:rFonts w:hint="eastAsia" w:ascii="楷体" w:hAnsi="楷体" w:eastAsia="楷体" w:cs="楷体"/>
          <w:color w:val="000000"/>
          <w:kern w:val="0"/>
          <w:sz w:val="24"/>
          <w:u w:val="thick"/>
          <w:lang w:bidi="ar"/>
        </w:rPr>
        <w:t xml:space="preserve">             </w:t>
      </w:r>
      <w:r>
        <w:rPr>
          <w:rFonts w:hint="eastAsia" w:ascii="楷体" w:hAnsi="楷体" w:eastAsia="楷体" w:cs="楷体"/>
          <w:color w:val="000000"/>
          <w:kern w:val="0"/>
          <w:sz w:val="24"/>
          <w:lang w:bidi="ar"/>
        </w:rPr>
        <w:t xml:space="preserve">      学号：</w:t>
      </w:r>
      <w:r>
        <w:rPr>
          <w:rFonts w:hint="eastAsia" w:ascii="楷体" w:hAnsi="楷体" w:eastAsia="楷体" w:cs="楷体"/>
          <w:color w:val="000000"/>
          <w:kern w:val="0"/>
          <w:sz w:val="24"/>
          <w:u w:val="thick"/>
          <w:lang w:bidi="ar"/>
        </w:rPr>
        <w:t xml:space="preserve">            </w:t>
      </w:r>
    </w:p>
    <w:p>
      <w:pPr>
        <w:shd w:val="clear" w:color="auto" w:fill="FFFFFF"/>
        <w:spacing w:line="360" w:lineRule="auto"/>
        <w:jc w:val="left"/>
        <w:textAlignment w:val="center"/>
        <w:rPr>
          <w:rFonts w:hint="eastAsia" w:ascii="宋体" w:hAnsi="宋体" w:cs="宋体"/>
          <w:b/>
          <w:i w:val="0"/>
          <w:sz w:val="21"/>
          <w:lang w:eastAsia="zh-CN"/>
        </w:rPr>
      </w:pPr>
      <w:r>
        <w:rPr>
          <w:rFonts w:ascii="宋体" w:hAnsi="宋体" w:eastAsia="宋体" w:cs="宋体"/>
          <w:b/>
          <w:i w:val="0"/>
          <w:sz w:val="21"/>
        </w:rPr>
        <w:t>一、单选题</w:t>
      </w:r>
      <w:r>
        <w:rPr>
          <w:rFonts w:hint="eastAsia" w:ascii="宋体" w:hAnsi="宋体" w:cs="宋体"/>
          <w:b/>
          <w:i w:val="0"/>
          <w:sz w:val="21"/>
          <w:lang w:eastAsia="zh-CN"/>
        </w:rPr>
        <w:t>（每小题</w:t>
      </w:r>
      <w:r>
        <w:rPr>
          <w:rFonts w:hint="eastAsia" w:ascii="宋体" w:hAnsi="宋体" w:cs="宋体"/>
          <w:b/>
          <w:i w:val="0"/>
          <w:sz w:val="21"/>
          <w:lang w:val="en-US" w:eastAsia="zh-CN"/>
        </w:rPr>
        <w:t>3分，共15题，45分</w:t>
      </w:r>
      <w:r>
        <w:rPr>
          <w:rFonts w:hint="eastAsia" w:ascii="宋体" w:hAnsi="宋体" w:cs="宋体"/>
          <w:b/>
          <w:i w:val="0"/>
          <w:sz w:val="21"/>
          <w:lang w:eastAsia="zh-CN"/>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河北省邯郸市广平县胜营镇采取“合作社+农场+订单+技术服务”的模式，打造了千亩西兰花种植基地，与北京新发地、美团等公司长期合作，实现了西兰花种苗培育、种植、储存、销售一条龙服务，助力农民增收和集体经济发展。此举有利于（</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①壮大集体经济，激活乡村振兴的新动能</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②重新界定农村的所有权性质，促进生产力发展</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③推动集体经济在国民经济中发挥主导作用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④提升集体经济效率，推进公有制发展壮大</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2022年9月13日，五矿稀土发布公告显示，五矿股份持有的1.58亿股股份(占公司总股本的16.1%)已过户至中国稀土名下，本次划转已完成。本次划转完成后，中国稀土集团将直接间接合计持有五矿稀土3.93亿股股份，占总股本的40.08%。五矿稀土实际控制人由中国五矿变更为中国稀土集团。此次股权划转的大动作有助于（</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①优势企业形成较为完整的产业链，提高国际竞争力</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②提高稀土行业集中度，推动同业竞争问题的解决</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③促进国进民退，进一步巩固我国公有制经济的主导地位</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④加快推动政府对国有企业的管理从管资本向管企业转变</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2023年1月，国家医保局发布了《新冠治疗药品价格形成指引（试行）》（以下简称《指引》）。在形成新冠治疗药品医保定价规则方面，《指引》遵循了企业自主定价、政府社会共管共治和全周期多层次引导相结合的原则。《指引》遵循上述原则的原因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①完善社会主义市场经济体制要求推动有效市场和有为政府相结合</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②由市场决定价格有利于合理配置医疗资源，提高企业生产积极性</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③市场调节有缺陷，公共物品的供给和价格不能完全由市场来调节</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④政府加强宏观调控，是使市场在资源配置中起决定性作用的基础</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党的二十大报告提出，支持“专精特新”(专业化、精细化、特色化、新颖化)企业发展。“专精特新”企业在发展中仍存在融资难、融资贵、财务负担较重、政策支持不足等问题，要解决这些企业的“急难愁盼”有赖于更强有力的支持。以下政策支持发挥作用的路径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①信贷支持：降低存款准备金率→提高资金周转效率→纾解“专精特新”企业困难</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②人才支持：提高企业工资待遇→吸纳专业技术人员→推动“专精特新”企业创新</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③财税支持：提高增值税起征点→减轻企业纳税负担→激发“专精特新”企业活力</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④平台支持：搭建孵化平台→整合发展所需配套资源→增强“专精特新”企业信心</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5．为抑制通胀，某国中央银行于2022年3月启动了自20世纪80年代以来最激进的加息周期。截至2023年2月，该国中央银行累计加息450个基点，联邦基金利率目标区间达到4.50%～4.75%。该国加息政策的预期效果是（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①境外资金流入，导致本币贬值</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②居民储蓄增加，可支配收入减少</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③流通中的货币量减少，物价下跌</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①消费受到抑制，通货膨胀缓解</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无人驾驶、智能工厂、智慧矿山……如今：人工智能已融入千行百业，小到居家出行、大到制造研发，智能经济给生产生活带来深刻变革。党的十八大以来，以习近平同志为核心的党中央高度重视智能经济发展，促进人工智能和实体经济深度融合。2022年，我国人工智能核心产业规模（增加值）达到5080亿元，同比增长18％。发展智能经济具有重大作用，其传导路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①方便人们的生活→增进民生福祉→提高人民群众的生活品质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②促进创新发展→淘汰传统生产方式→推动经济加速转型升级</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③降低生产成本→不断扩大生产规模→助力实体经济做大做强</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④注入经济发展新动能→实现提质增效→推动经济高质量发展</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数据显示，2023年一季度，我国制造业贷款新增2.2万亿元，同比多增3819亿元。民营企业贷款新增3.7万亿元，同比多增1万亿元。普惠型小微企业贷款新增2.3万亿元，同比多增8088亿元。2023年，银保监会将持续提升金融服务实体经济质效，把支持恢复和扩大消费摆在优先位置，做好对投资的融资保障，支持社会领域加快补短板，全力支持经济运行整体好转。不考虑其他因素，金融服务实体经济发展产生的影响推导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①增加货币投放→缓解资金不足→推动物价上涨→引导市场供给</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②优化资源配置→弥补发展短板→推进产业升级→促进提质增效</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③扩大直接融资→融资成本降低→抗风险能力提高→稳定产业链供应链</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④优化信贷结构→提升金融供给的匹配性→精准服务实体经济→提升发展质量</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已有68年历史的国家电网冀北电科院汇聚了一批业内技术骨干，为提升员工的专业能力，推动科技成果转化，冀北电科院实施“岗位分红激励机制”，将激励力度同创新贡献直接挂钩。同时还规定，与科技成果研发无关的财务、后勤和行政管理人员，以及电科院企业高级层管理人员不参与岗位分红。对此，认识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A．要坚持多劳多得，着重保护劳动收入，提高劳动报酬比重</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B．要优化分配制度，让要素活力竞相进发，体现效率促进公平</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C．要通过转移支付的方式，实现收入分配向专业技术骨干倾斜</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D．应理顺国家、企业和个人三者关系，实现发展成果人民共享</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当前，我国家庭财富积累速度快，但财富差距日益扩大。为进一步完善收入分配体制机制，避免可能出现的“富者累巨万，而贫者食糟糠”现象，党的二十大报告首次提出“规范财富积累机制”。规范该机制需要（</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①合理调节过高收入，不断规范收入分配秩序</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②发挥宏观调控作用，坚持公平优先兼顾效率</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③在再分配中健全生产要素按贡献参与分配机制</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④拓宽居民财产性收入渠道，扩大中等收入群体</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数据作为新型生产要素，已快速融入生产、分配、流通、消费和社会服务管理等各环节。为了更好发挥数据要素的作用，需要建立体现效率、促进公平的数据要素收益分配制度。下列说法符合上述制度要求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A．在初次分配阶段按照“谁投入、谁贡献、谁受益”原则，重点关注公共利益和相对弱势群体</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B．再分配和第三次分配阶段要坚持推动数据要素收益向数据价值和使用价值创造者合理倾斜</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C．建立健全数据要素登记及披露机制，增强企业社会责任，打破“数据垄断”，促进公平竞争</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D．健全数据要素由市场评价贡献、按贡献决定报酬的机制，更好发挥政府的引导调节作用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习近平2002年11月17日在亚太经合组织工商领导人峰会上的书面演讲中说到：我们的共同富裕，是要更好满足人民美好生活需要，逐步实现整体富裕、普遍富裕，坚持市场和政府相结合、效率和公平相统一，在做大蛋糕的同时分好蛋糕，打造橄榄型分配结构。上述论断（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①在分析的基础上揭示了事物的整体性特征</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②体现了辩证思维具有动态性和独立性特征</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③是根据事物之间相同属性进行的类比推理</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④阐述了共同富裕的实现是质量互变的过程</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12．《孟子·尽心下》有言：“尽信书，则不如无书。”这句古文（</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①可用“如果……那么……”作联结项</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②可用“只有……才……”作联结项</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③蕴含着我国古人朴素的辩证否定观</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④其结论和逻辑推理结构均是正确的</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吕氏春秋·察今》里讲到一个“刻舟求剑”的故事：楚国有一个人坐船过江。船到江心，他一不小心，把随身携带的一把宝剑掉到江中。船上的人表示惋惜，但那个楚国人似乎并不着急，拿出一把小刀在船边刻了一个记号。船靠岸后，这个楚国人立刻在他刻记号的地方下水捞宝剑，结果一无所获。从逻辑思维角度看，这则故事告诉我们（</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①凭借表象作出的判断与推理往往是不可靠的</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②应坚持辩证思维，用动态性的辩证思维看问题</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③创新思维要善于联想，创新的步骤具有跨越性</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④认识过程需要从思维具体上升到思维抽象</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屠呦呦带领的疟疾研究小组从2000余种中药、100余种中药水提物和200余个醇提物样品中，找到了能很好地抑制寄生虫生产的青蒿素。围绕如何把青蒿素转变为药物，从青蒿素的提纯、寻找青蒿素丰富的蒿属植物到临床药物片剂，研究小组不断地实验、改进和优化，最终成功研制出临床效果令人满意的纯青蒿素胶囊。青蒿素及其药品的研制过程说明（</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①应根据已知事物信息，从不同方向思考寻求多样性答案</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②要积极运用发散思维去寻求事物可能具有的功能和作用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③事物间的相互区别与相互联系是创新思维的基础</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④解决复杂问题需要把发散思维和聚合思维结合起来</w:t>
      </w:r>
    </w:p>
    <w:p>
      <w:p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在神舟十三号载人飞船成功发射的同时，神舟十四号载人飞船也已经完成发射前的全部工作，进入应急发射待命状态。也就是有两艘飞船进场，由后一艘飞船作为应对突发情况的生命救援之舟，且后者具备8．5天应急发射进行太空救援的能力。上述措施充分体现了（</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①立足于发展预期是对事物作出正确判断和预测的基础和前提</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②超前思维是将不利因素转化为有利因素的一种思维形态</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③超前思维能够帮助人们正确决策，解决工作中的实际问题</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④要依据事物发展的历史和现实状况预测其未来发展趋势</w:t>
      </w:r>
    </w:p>
    <w:p>
      <w:pPr>
        <w:numPr>
          <w:numId w:val="0"/>
        </w:numPr>
        <w:shd w:val="clear" w:color="auto" w:fill="FFFFFF"/>
        <w:tabs>
          <w:tab w:val="left" w:pos="2078"/>
          <w:tab w:val="left" w:pos="4156"/>
          <w:tab w:val="left" w:pos="6234"/>
        </w:tabs>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A.</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672"/>
        <w:gridCol w:w="672"/>
        <w:gridCol w:w="672"/>
        <w:gridCol w:w="672"/>
        <w:gridCol w:w="673"/>
        <w:gridCol w:w="673"/>
        <w:gridCol w:w="673"/>
        <w:gridCol w:w="674"/>
        <w:gridCol w:w="674"/>
        <w:gridCol w:w="665"/>
        <w:gridCol w:w="665"/>
        <w:gridCol w:w="665"/>
        <w:gridCol w:w="665"/>
        <w:gridCol w:w="621"/>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题号</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2</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3</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4</w:t>
            </w: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5</w:t>
            </w: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6</w:t>
            </w: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7</w:t>
            </w:r>
          </w:p>
        </w:tc>
        <w:tc>
          <w:tcPr>
            <w:tcW w:w="674"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8</w:t>
            </w:r>
          </w:p>
        </w:tc>
        <w:tc>
          <w:tcPr>
            <w:tcW w:w="674"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9</w:t>
            </w: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0</w:t>
            </w: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1</w:t>
            </w: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2</w:t>
            </w: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3</w:t>
            </w:r>
          </w:p>
        </w:tc>
        <w:tc>
          <w:tcPr>
            <w:tcW w:w="621" w:type="dxa"/>
            <w:vAlign w:val="center"/>
          </w:tcPr>
          <w:p>
            <w:pPr>
              <w:jc w:val="center"/>
              <w:textAlignment w:val="center"/>
              <w:rPr>
                <w:rFonts w:hint="eastAsia"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4</w:t>
            </w:r>
          </w:p>
        </w:tc>
        <w:tc>
          <w:tcPr>
            <w:tcW w:w="621" w:type="dxa"/>
            <w:vAlign w:val="center"/>
          </w:tcPr>
          <w:p>
            <w:pPr>
              <w:jc w:val="center"/>
              <w:textAlignment w:val="center"/>
              <w:rPr>
                <w:rFonts w:hint="eastAsia"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答案</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4"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4"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21"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21"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r>
    </w:tbl>
    <w:p>
      <w:pPr>
        <w:numPr>
          <w:ilvl w:val="0"/>
          <w:numId w:val="0"/>
        </w:numPr>
        <w:shd w:val="clear" w:color="auto" w:fill="FFFFFF"/>
        <w:tabs>
          <w:tab w:val="left" w:pos="2078"/>
          <w:tab w:val="left" w:pos="4156"/>
          <w:tab w:val="left" w:pos="6234"/>
        </w:tabs>
        <w:spacing w:line="360" w:lineRule="auto"/>
        <w:jc w:val="left"/>
        <w:textAlignment w:val="center"/>
      </w:pPr>
    </w:p>
    <w:p>
      <w:pPr>
        <w:jc w:val="left"/>
        <w:textAlignment w:val="center"/>
        <w:rPr>
          <w:rFonts w:hint="eastAsia" w:ascii="宋体" w:hAnsi="宋体" w:eastAsia="宋体" w:cs="宋体"/>
          <w:b/>
          <w:i w:val="0"/>
          <w:sz w:val="21"/>
          <w:lang w:eastAsia="zh-CN"/>
        </w:rPr>
      </w:pPr>
      <w:r>
        <w:rPr>
          <w:rFonts w:ascii="宋体" w:hAnsi="宋体" w:eastAsia="宋体" w:cs="宋体"/>
          <w:b/>
          <w:i w:val="0"/>
          <w:sz w:val="21"/>
        </w:rPr>
        <w:t>二、材料分析题</w:t>
      </w:r>
      <w:r>
        <w:rPr>
          <w:rFonts w:hint="eastAsia" w:ascii="宋体" w:hAnsi="宋体" w:cs="宋体"/>
          <w:b/>
          <w:i w:val="0"/>
          <w:sz w:val="21"/>
          <w:lang w:eastAsia="zh-CN"/>
        </w:rPr>
        <w:t>（共</w:t>
      </w:r>
      <w:r>
        <w:rPr>
          <w:rFonts w:hint="eastAsia" w:ascii="宋体" w:hAnsi="宋体" w:cs="宋体"/>
          <w:b/>
          <w:i w:val="0"/>
          <w:sz w:val="21"/>
          <w:lang w:val="en-US" w:eastAsia="zh-CN"/>
        </w:rPr>
        <w:t>5题，55分</w:t>
      </w:r>
      <w:r>
        <w:rPr>
          <w:rFonts w:hint="eastAsia" w:ascii="宋体" w:hAnsi="宋体" w:cs="宋体"/>
          <w:b/>
          <w:i w:val="0"/>
          <w:sz w:val="21"/>
          <w:lang w:eastAsia="zh-CN"/>
        </w:rPr>
        <w:t>）</w:t>
      </w:r>
    </w:p>
    <w:p>
      <w:pPr>
        <w:shd w:val="clear" w:color="auto" w:fill="FFFFFF"/>
        <w:spacing w:line="360" w:lineRule="auto"/>
        <w:ind w:firstLine="420" w:firstLineChars="200"/>
        <w:jc w:val="left"/>
        <w:textAlignment w:val="center"/>
      </w:pPr>
      <w:r>
        <w:rPr>
          <w:rFonts w:hint="eastAsia" w:ascii="楷体" w:hAnsi="楷体" w:eastAsia="楷体" w:cs="楷体"/>
        </w:rPr>
        <w:t>16．内蒙古第一机械集团有限公司是国家“一五”期间156个重点建设项目之一，是国家唯一的集主战坦克、轮式步兵战车、中口径火炮于一体的高新</w:t>
      </w:r>
      <w:r>
        <w:rPr>
          <w:rFonts w:ascii="楷体" w:hAnsi="楷体" w:eastAsia="楷体" w:cs="楷体"/>
        </w:rPr>
        <w:t>武器装备研发制造集团，是国家特大型工业企业，也是内蒙古自治区综合实力最强、质量效益最好、经营规模最大的装备制造企业。公司始终秉承把一切献给党的人民兵工精神，牢记服务于国家国防安全，服务于国家经济发展的核心使命。经过近70年的发展，军工资产实现整体上市，入选国务院国资委国有重点企业管理标杆创建企业和国有企业公司治理示范企业。</w:t>
      </w:r>
    </w:p>
    <w:p>
      <w:pPr>
        <w:shd w:val="clear" w:color="auto" w:fill="FFFFFF"/>
        <w:spacing w:line="360" w:lineRule="auto"/>
        <w:ind w:firstLine="420"/>
        <w:jc w:val="left"/>
        <w:textAlignment w:val="center"/>
      </w:pPr>
      <w:r>
        <w:rPr>
          <w:rFonts w:ascii="楷体" w:hAnsi="楷体" w:eastAsia="楷体" w:cs="楷体"/>
        </w:rPr>
        <w:t>公司聚焦国防建设，军品形成轮履结合、车炮一体的研制生产格局，其中履带装备涵盖各型主战坦克，轮式装备涵盖全系列轮式战车，广泛服务于陆军、海军陆战队、空军等各军兵种。同时军贸实现跨越式发展，公司多型装备威武雄壮的参加了建国10周年以来的历次大阅兵，受阅装备的数量和规模均居前列。在历次世界坦克两项比赛中均取得优异成绩，并以其卓越的性能和非凡的品质赢得了国内外广泛赞誉，成为戍疆守土的国之重器。聚焦经济发展，公司深入贯彻国家军民融合发展战略，推动民品成功实现转型升级，其中铁路车辆是我国轨道运输装备的核心供应商，获评国家级专精特新“小巨人”企业。</w:t>
      </w:r>
    </w:p>
    <w:p>
      <w:pPr>
        <w:shd w:val="clear" w:color="auto" w:fill="FFFFFF"/>
        <w:spacing w:line="360" w:lineRule="auto"/>
        <w:jc w:val="left"/>
        <w:textAlignment w:val="center"/>
        <w:rPr>
          <w:rFonts w:hint="eastAsia" w:ascii="宋体" w:hAnsi="宋体" w:eastAsia="宋体" w:cs="宋体"/>
          <w:b/>
          <w:bCs/>
          <w:lang w:eastAsia="zh-CN"/>
        </w:rPr>
      </w:pPr>
      <w:r>
        <w:rPr>
          <w:rFonts w:hint="eastAsia" w:ascii="宋体" w:hAnsi="宋体" w:eastAsia="宋体" w:cs="宋体"/>
          <w:b/>
          <w:bCs/>
        </w:rPr>
        <w:t>结合材料，运用“我国的生产资料所有制”的相关知识，分析内蒙古第一机械集团是如何通过科学经营实现企业高质量发展的。</w:t>
      </w:r>
      <w:r>
        <w:rPr>
          <w:rFonts w:hint="eastAsia" w:ascii="宋体" w:hAnsi="宋体" w:cs="宋体"/>
          <w:b/>
          <w:bCs/>
          <w:lang w:eastAsia="zh-CN"/>
        </w:rPr>
        <w:t>（</w:t>
      </w:r>
      <w:r>
        <w:rPr>
          <w:rFonts w:hint="eastAsia" w:ascii="宋体" w:hAnsi="宋体" w:cs="宋体"/>
          <w:b/>
          <w:bCs/>
          <w:lang w:val="en-US" w:eastAsia="zh-CN"/>
        </w:rPr>
        <w:t>10分</w:t>
      </w:r>
      <w:r>
        <w:rPr>
          <w:rFonts w:hint="eastAsia" w:ascii="宋体" w:hAnsi="宋体" w:cs="宋体"/>
          <w:b/>
          <w:bCs/>
          <w:lang w:eastAsia="zh-CN"/>
        </w:rPr>
        <w:t>）</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shd w:val="clear" w:color="auto" w:fill="FFFFFF"/>
        <w:spacing w:line="360" w:lineRule="auto"/>
        <w:jc w:val="left"/>
        <w:textAlignment w:val="center"/>
        <w:rPr>
          <w:rFonts w:hint="eastAsia" w:ascii="宋体" w:hAnsi="宋体" w:eastAsia="宋体" w:cs="宋体"/>
          <w:b/>
          <w:bCs/>
        </w:rPr>
      </w:pPr>
      <w:r>
        <w:rPr>
          <w:rFonts w:hint="eastAsia" w:ascii="黑体" w:eastAsia="黑体" w:cs="黑体"/>
          <w:b/>
          <w:bCs/>
          <w:color w:val="000000"/>
          <w:sz w:val="21"/>
          <w:szCs w:val="21"/>
          <w:u w:val="dotted"/>
          <w:lang w:bidi="ar"/>
        </w:rPr>
        <w:t xml:space="preserve">                                                                                                          </w:t>
      </w:r>
    </w:p>
    <w:p>
      <w:pPr>
        <w:shd w:val="clear" w:color="auto" w:fill="FFFFFF"/>
        <w:spacing w:line="360" w:lineRule="auto"/>
        <w:ind w:firstLine="420" w:firstLineChars="200"/>
        <w:jc w:val="left"/>
        <w:textAlignment w:val="center"/>
      </w:pPr>
    </w:p>
    <w:p>
      <w:pPr>
        <w:shd w:val="clear" w:color="auto" w:fill="FFFFFF"/>
        <w:spacing w:line="360" w:lineRule="auto"/>
        <w:ind w:firstLine="420" w:firstLineChars="200"/>
        <w:jc w:val="left"/>
        <w:textAlignment w:val="center"/>
      </w:pPr>
      <w:r>
        <w:rPr>
          <w:rFonts w:hint="eastAsia" w:ascii="楷体" w:hAnsi="楷体" w:eastAsia="楷体" w:cs="楷体"/>
        </w:rPr>
        <w:t>17．“小饼小葱小火炉，蘸酱撒料开始撸。”淄博烧烤极具特色的“灵魂吃法”刷爆网络，吸引了众多大学生、上班族慕名打卡。淄博抓住机遇，用“新”留人，以数</w:t>
      </w:r>
      <w:r>
        <w:rPr>
          <w:rFonts w:ascii="楷体" w:hAnsi="楷体" w:eastAsia="楷体" w:cs="楷体"/>
        </w:rPr>
        <w:t>字化、智能化、绿色化赋能传统产业，新拓优质岗位，实施就业见习岗位募集计划，发放由政府贴息的大学生创业贷款；用“薪”留人，落实最低工资标准正常增长机制，并以人才奖励机制带动引才就业政策落地；用“心”留人，以覆盖全市各区县的38处青年驿站，为求职就业、实习游玩的高校大学生，提供一定期限的半价或全免住宿服务。</w:t>
      </w:r>
    </w:p>
    <w:p>
      <w:pPr>
        <w:shd w:val="clear" w:color="auto" w:fill="FFFFFF"/>
        <w:spacing w:line="360" w:lineRule="auto"/>
        <w:ind w:firstLine="420"/>
        <w:jc w:val="left"/>
        <w:textAlignment w:val="center"/>
      </w:pPr>
      <w:r>
        <w:rPr>
          <w:rFonts w:ascii="楷体" w:hAnsi="楷体" w:eastAsia="楷体" w:cs="楷体"/>
        </w:rPr>
        <w:t>“热腾热腾腾的烟火气，香喷喷的生活味儿。”烧烤出圈后，淄博还开通公交、高铁专线，免费发放文旅礼包……以满满的诚意提升城市的“亲切感”。对于淄博而言，真正能留住年轻人的，不是烧烤，而是城市和个人广阔的发展空间。</w:t>
      </w:r>
    </w:p>
    <w:p>
      <w:pPr>
        <w:shd w:val="clear" w:color="auto" w:fill="FFFFFF"/>
        <w:spacing w:line="360" w:lineRule="auto"/>
        <w:jc w:val="left"/>
        <w:textAlignment w:val="cente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结合材料，运用《经济与社会》知识，分析淄博是如何让青年人才“流”进来，留下来的。</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10分</w:t>
      </w:r>
      <w:r>
        <w:rPr>
          <w:rFonts w:hint="eastAsia" w:asciiTheme="minorEastAsia" w:hAnsiTheme="minorEastAsia" w:eastAsiaTheme="minorEastAsia" w:cstheme="minorEastAsia"/>
          <w:b/>
          <w:bCs/>
          <w:lang w:eastAsia="zh-CN"/>
        </w:rPr>
        <w:t>）</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shd w:val="clear" w:color="auto" w:fill="FFFFFF"/>
        <w:spacing w:line="360" w:lineRule="auto"/>
        <w:jc w:val="left"/>
        <w:textAlignment w:val="center"/>
        <w:rPr>
          <w:rFonts w:hint="eastAsia" w:asciiTheme="minorEastAsia" w:hAnsiTheme="minorEastAsia" w:eastAsiaTheme="minorEastAsia" w:cstheme="minorEastAsia"/>
          <w:b/>
          <w:bCs/>
        </w:rPr>
      </w:pPr>
      <w:r>
        <w:rPr>
          <w:rFonts w:hint="eastAsia" w:ascii="黑体" w:eastAsia="黑体" w:cs="黑体"/>
          <w:b/>
          <w:bCs/>
          <w:color w:val="000000"/>
          <w:sz w:val="21"/>
          <w:szCs w:val="21"/>
          <w:u w:val="dotted"/>
          <w:lang w:bidi="ar"/>
        </w:rPr>
        <w:t xml:space="preserve">                                                                                                          </w:t>
      </w:r>
    </w:p>
    <w:p>
      <w:pPr>
        <w:shd w:val="clear" w:color="auto" w:fill="FFFFFF"/>
        <w:spacing w:line="360" w:lineRule="auto"/>
        <w:ind w:firstLine="420" w:firstLineChars="200"/>
        <w:jc w:val="left"/>
        <w:textAlignment w:val="center"/>
      </w:pPr>
    </w:p>
    <w:p>
      <w:pPr>
        <w:shd w:val="clear" w:color="auto" w:fill="FFFFFF"/>
        <w:spacing w:line="360" w:lineRule="auto"/>
        <w:ind w:firstLine="420" w:firstLineChars="200"/>
        <w:jc w:val="left"/>
        <w:textAlignment w:val="center"/>
      </w:pPr>
      <w:r>
        <w:rPr>
          <w:rFonts w:hint="eastAsia" w:ascii="楷体" w:hAnsi="楷体" w:eastAsia="楷体" w:cs="楷体"/>
        </w:rPr>
        <w:t>18．材料一</w:t>
      </w:r>
      <w:r>
        <w:rPr>
          <w:rFonts w:hint="eastAsia" w:ascii="楷体" w:hAnsi="楷体" w:eastAsia="楷体" w:cs="楷体"/>
          <w:kern w:val="0"/>
          <w:sz w:val="24"/>
          <w:szCs w:val="24"/>
        </w:rPr>
        <w:t>  </w:t>
      </w:r>
      <w:r>
        <w:rPr>
          <w:rFonts w:hint="eastAsia" w:ascii="楷体" w:hAnsi="楷体" w:eastAsia="楷体" w:cs="楷体"/>
        </w:rPr>
        <w:t>面对新时代新征程提出的新任务，2023年3月16日，中共中央、国务院印发了《党和国家机构改革方案》。《方案》规定，组建国家科学技术部，促进科技成果转化，强化战略规划、体制改革、资源统筹等职能，将科学技术部部分等职能划入农业农村部、国家发改委、生态环境部、工业和信息化等国务院职能部门。国家知识产权局和国家外国专家局也调整回2018年所属部门，</w:t>
      </w:r>
      <w:r>
        <w:rPr>
          <w:rFonts w:ascii="楷体" w:hAnsi="楷体" w:eastAsia="楷体" w:cs="楷体"/>
        </w:rPr>
        <w:t>同时组建国家金融监督管理总局、数据局等。</w:t>
      </w:r>
    </w:p>
    <w:p>
      <w:pPr>
        <w:shd w:val="clear" w:color="auto" w:fill="FFFFFF"/>
        <w:spacing w:line="360" w:lineRule="auto"/>
        <w:ind w:firstLine="42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社会主义建设初期，通过高度集中的计划经济，将稀缺资源集中到战略领域进行“科技攻关”或“科技会战”，适应了资源匮乏、资金短缺、工业基础薄弱等初始条件。改革开放后，我国经济逐渐转向高质量发展，但多项关键技术领域，西方国家仍然“卡脖子”。二十大报告指出，要坚持创新在现代化建设全局中核心地位，健全科技创新体制。</w:t>
      </w:r>
    </w:p>
    <w:p>
      <w:pPr>
        <w:shd w:val="clear" w:color="auto" w:fill="FFFFFF"/>
        <w:spacing w:line="360" w:lineRule="auto"/>
        <w:jc w:val="left"/>
        <w:textAlignment w:val="center"/>
        <w:rPr>
          <w:rFonts w:hint="eastAsia" w:eastAsia="宋体"/>
          <w:b/>
          <w:bCs/>
          <w:lang w:eastAsia="zh-CN"/>
        </w:rPr>
      </w:pPr>
      <w:r>
        <w:rPr>
          <w:b/>
          <w:bCs/>
        </w:rPr>
        <w:t>针对我国关键技术受制于人局面，有观点认为，推动科技创新应重回计划经济时代。结合材料二，运用经济与社会知识相关知识进行评析。</w:t>
      </w:r>
      <w:r>
        <w:rPr>
          <w:rFonts w:hint="eastAsia"/>
          <w:b/>
          <w:bCs/>
          <w:lang w:eastAsia="zh-CN"/>
        </w:rPr>
        <w:t>（</w:t>
      </w:r>
      <w:r>
        <w:rPr>
          <w:rFonts w:hint="eastAsia"/>
          <w:b/>
          <w:bCs/>
          <w:lang w:val="en-US" w:eastAsia="zh-CN"/>
        </w:rPr>
        <w:t>8分</w:t>
      </w:r>
      <w:r>
        <w:rPr>
          <w:rFonts w:hint="eastAsia"/>
          <w:b/>
          <w:bCs/>
          <w:lang w:eastAsia="zh-CN"/>
        </w:rPr>
        <w:t>）</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shd w:val="clear" w:color="auto" w:fill="FFFFFF"/>
        <w:spacing w:line="360" w:lineRule="auto"/>
        <w:jc w:val="left"/>
        <w:textAlignment w:val="center"/>
        <w:rPr>
          <w:rFonts w:ascii="黑体" w:hAnsi="黑体" w:eastAsia="黑体" w:cs="黑体"/>
          <w:b/>
          <w:i w:val="0"/>
          <w:sz w:val="30"/>
        </w:rPr>
      </w:pPr>
      <w:r>
        <w:rPr>
          <w:rFonts w:hint="eastAsia" w:ascii="黑体" w:eastAsia="黑体" w:cs="黑体"/>
          <w:b/>
          <w:bCs/>
          <w:color w:val="000000"/>
          <w:sz w:val="21"/>
          <w:szCs w:val="21"/>
          <w:u w:val="dotted"/>
          <w:lang w:bidi="ar"/>
        </w:rPr>
        <w:t xml:space="preserve">                                                                                                          </w:t>
      </w:r>
    </w:p>
    <w:p>
      <w:pPr>
        <w:shd w:val="clear" w:color="auto" w:fill="FFFFFF"/>
        <w:spacing w:line="360" w:lineRule="auto"/>
        <w:ind w:firstLine="420" w:firstLineChars="200"/>
        <w:jc w:val="left"/>
        <w:textAlignment w:val="center"/>
        <w:rPr>
          <w:rFonts w:hint="eastAsia" w:ascii="楷体" w:hAnsi="楷体" w:eastAsia="楷体" w:cs="楷体"/>
        </w:rPr>
      </w:pPr>
    </w:p>
    <w:p>
      <w:pPr>
        <w:shd w:val="clear" w:color="auto" w:fill="FFFFFF"/>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19．新时代十年是福建砥砺前行、跨越发展的十年，福建的科技创新之树结出累累硕果。</w:t>
      </w:r>
    </w:p>
    <w:p>
      <w:pPr>
        <w:shd w:val="clear" w:color="auto" w:fill="FFFFFF"/>
        <w:spacing w:line="360" w:lineRule="auto"/>
        <w:ind w:firstLine="420"/>
        <w:jc w:val="left"/>
        <w:textAlignment w:val="center"/>
      </w:pPr>
      <w:r>
        <w:rPr>
          <w:rFonts w:hint="eastAsia" w:ascii="楷体" w:hAnsi="楷体" w:eastAsia="楷体" w:cs="楷体"/>
        </w:rPr>
        <w:t>材料一</w:t>
      </w:r>
      <w:r>
        <w:rPr>
          <w:rFonts w:hint="eastAsia" w:ascii="楷体" w:hAnsi="楷体" w:eastAsia="楷体" w:cs="楷体"/>
          <w:kern w:val="0"/>
          <w:sz w:val="24"/>
          <w:szCs w:val="24"/>
        </w:rPr>
        <w:t>  </w:t>
      </w:r>
      <w:r>
        <w:rPr>
          <w:rFonts w:hint="eastAsia" w:ascii="楷体" w:hAnsi="楷体" w:eastAsia="楷体" w:cs="楷体"/>
        </w:rPr>
        <w:t>福建省持续加大财政投入，推进建设光</w:t>
      </w:r>
      <w:r>
        <w:rPr>
          <w:rFonts w:ascii="楷体" w:hAnsi="楷体" w:eastAsia="楷体" w:cs="楷体"/>
        </w:rPr>
        <w:t>电信息、能源材料等6家省创新实验室；用好国家留抵退税等政策，带动企业加大研发投入；大力发展数字经济，打造新型显示、新材料、新能源、生物医药四大科创高地，深化科技与产业交叉融合；科技特派员工作充分发挥优势，推行“订单式”需求对接、“菜单式”服务供给的新模式，把创新动能扩散到田间地头，满足农民生产需要；主动融入“一带一路”建设，加强与东盟国家在海洋科技创新等领域的合作，鼓励和支持科研机构、高等院校和企业与“一带一路”沿线国家在科技成果转移转化方面加强合作，建设一批先进适用技术示范与推广基地。</w:t>
      </w:r>
    </w:p>
    <w:p>
      <w:pPr>
        <w:shd w:val="clear" w:color="auto" w:fill="FFFFFF"/>
        <w:spacing w:line="360" w:lineRule="auto"/>
        <w:ind w:firstLine="42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科技创新也给武夷山装上智慧大脑。武夷山国家公园借助物联网、卫星遥感等技术，实时动态掌握当日入园人数，监测预警水质、森林防火、动植物与文物资源等情况，形成智慧云图；打破了数据孤岛，天上有卫星遥感、空中有无人机、山上有视频监控、地上有护林人员巡检，天空地一体化的全方位、全天候监测和服务，对开展智能决策提供了技术支持；用科技之眼看护碧水丹山，维护历史文化遗产，谱写了文化与自然遗产世代传承、人与自然和谐共生的“武夷山样本”。</w:t>
      </w:r>
    </w:p>
    <w:p>
      <w:pPr>
        <w:numPr>
          <w:ilvl w:val="0"/>
          <w:numId w:val="1"/>
        </w:numPr>
        <w:shd w:val="clear" w:color="auto" w:fill="FFFFFF"/>
        <w:spacing w:line="360" w:lineRule="auto"/>
        <w:jc w:val="left"/>
        <w:textAlignment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结合材料一，运用《经济与社会》的知识，分析福建省科技创新之树是如何结出累累硕果的。</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8分</w:t>
      </w:r>
      <w:r>
        <w:rPr>
          <w:rFonts w:hint="eastAsia" w:asciiTheme="minorEastAsia" w:hAnsiTheme="minorEastAsia" w:eastAsiaTheme="minorEastAsia" w:cstheme="minorEastAsia"/>
          <w:b/>
          <w:bCs/>
          <w:lang w:eastAsia="zh-CN"/>
        </w:rPr>
        <w:t>）</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numPr>
          <w:ilvl w:val="0"/>
          <w:numId w:val="0"/>
        </w:numPr>
        <w:shd w:val="clear" w:color="auto" w:fill="FFFFFF"/>
        <w:spacing w:line="360" w:lineRule="auto"/>
        <w:jc w:val="left"/>
        <w:textAlignment w:val="center"/>
        <w:rPr>
          <w:rFonts w:hint="eastAsia" w:asciiTheme="minorEastAsia" w:hAnsiTheme="minorEastAsia" w:eastAsiaTheme="minorEastAsia" w:cstheme="minorEastAsia"/>
          <w:b/>
          <w:bCs/>
        </w:rPr>
      </w:pPr>
      <w:r>
        <w:rPr>
          <w:rFonts w:hint="eastAsia" w:ascii="黑体" w:eastAsia="黑体" w:cs="黑体"/>
          <w:b/>
          <w:bCs/>
          <w:color w:val="000000"/>
          <w:sz w:val="21"/>
          <w:szCs w:val="21"/>
          <w:u w:val="dotted"/>
          <w:lang w:bidi="ar"/>
        </w:rPr>
        <w:t xml:space="preserve">                                                                                                          </w:t>
      </w:r>
    </w:p>
    <w:p>
      <w:pPr>
        <w:numPr>
          <w:numId w:val="0"/>
        </w:numPr>
        <w:shd w:val="clear" w:color="auto" w:fill="FFFFFF"/>
        <w:spacing w:line="360" w:lineRule="auto"/>
        <w:ind w:leftChars="0"/>
        <w:jc w:val="left"/>
        <w:textAlignment w:val="center"/>
        <w:rPr>
          <w:rFonts w:hint="eastAsia" w:asciiTheme="minorEastAsia" w:hAnsiTheme="minorEastAsia" w:eastAsiaTheme="minorEastAsia" w:cstheme="minorEastAsia"/>
          <w:b/>
          <w:bCs/>
        </w:rPr>
      </w:pPr>
    </w:p>
    <w:p>
      <w:pPr>
        <w:numPr>
          <w:numId w:val="0"/>
        </w:numPr>
        <w:shd w:val="clear" w:color="auto" w:fill="FFFFFF"/>
        <w:spacing w:line="360" w:lineRule="auto"/>
        <w:ind w:leftChars="0"/>
        <w:jc w:val="left"/>
        <w:textAlignment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有同学认为：“在动态思维中把握武夷山基本情况，就能保护好武夷山。”请结合材料二，运用辩证思维特征的有关知识评析该观点。</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8分</w:t>
      </w:r>
      <w:r>
        <w:rPr>
          <w:rFonts w:hint="eastAsia" w:asciiTheme="minorEastAsia" w:hAnsiTheme="minorEastAsia" w:eastAsiaTheme="minorEastAsia" w:cstheme="minorEastAsia"/>
          <w:b/>
          <w:bCs/>
          <w:lang w:eastAsia="zh-CN"/>
        </w:rPr>
        <w:t>）</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hint="eastAsia" w:asciiTheme="minorEastAsia" w:hAnsiTheme="minorEastAsia" w:eastAsiaTheme="minorEastAsia" w:cstheme="minorEastAsia"/>
          <w:b/>
          <w:bCs/>
        </w:rPr>
      </w:pPr>
      <w:r>
        <w:rPr>
          <w:rFonts w:hint="eastAsia" w:ascii="黑体" w:eastAsia="黑体" w:cs="黑体"/>
          <w:b/>
          <w:bCs/>
          <w:color w:val="000000"/>
          <w:sz w:val="21"/>
          <w:szCs w:val="21"/>
          <w:u w:val="dotted"/>
          <w:lang w:bidi="ar"/>
        </w:rPr>
        <w:t xml:space="preserve">                                                                                                             </w:t>
      </w:r>
    </w:p>
    <w:p>
      <w:pPr>
        <w:shd w:val="clear" w:color="auto" w:fill="FFFFFF"/>
        <w:spacing w:line="360" w:lineRule="auto"/>
        <w:ind w:firstLine="420"/>
        <w:jc w:val="left"/>
        <w:textAlignment w:val="center"/>
      </w:pPr>
    </w:p>
    <w:p>
      <w:pPr>
        <w:shd w:val="clear" w:color="auto" w:fill="FFFFFF"/>
        <w:spacing w:line="360" w:lineRule="auto"/>
        <w:ind w:firstLine="420"/>
        <w:jc w:val="left"/>
        <w:textAlignment w:val="center"/>
        <w:rPr>
          <w:rFonts w:hint="eastAsia" w:ascii="楷体" w:hAnsi="楷体" w:eastAsia="楷体" w:cs="楷体"/>
        </w:rPr>
      </w:pPr>
      <w:r>
        <w:rPr>
          <w:rFonts w:hint="eastAsia" w:ascii="楷体" w:hAnsi="楷体" w:eastAsia="楷体" w:cs="楷体"/>
        </w:rPr>
        <w:t>20．2022年11月，“中国传统制茶技艺及其相关习俗”申遗成功，涉及15个省份的44个国家级非遗代表性项目被列入联合国教科文组织人类非物质文化遗产代表作名录。</w:t>
      </w:r>
    </w:p>
    <w:p>
      <w:pPr>
        <w:shd w:val="clear" w:color="auto" w:fill="FFFFFF"/>
        <w:spacing w:line="360" w:lineRule="auto"/>
        <w:ind w:firstLine="420"/>
        <w:jc w:val="left"/>
        <w:textAlignment w:val="center"/>
      </w:pPr>
      <w:r>
        <w:rPr>
          <w:rFonts w:hint="eastAsia" w:ascii="楷体" w:hAnsi="楷体" w:eastAsia="楷体" w:cs="楷体"/>
        </w:rPr>
        <w:t>围绕如何统筹发展好茶文化</w:t>
      </w:r>
      <w:r>
        <w:rPr>
          <w:rFonts w:ascii="楷体" w:hAnsi="楷体" w:eastAsia="楷体" w:cs="楷体"/>
        </w:rPr>
        <w:t>、茶产业、茶科技，某校茶文化社团以“匠心独运制好茶”为主题开展市场调查，并将相关情况汇集成下表：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4"/>
        <w:gridCol w:w="5229"/>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jc w:val="left"/>
              <w:textAlignment w:val="center"/>
            </w:pPr>
            <w:r>
              <w:rPr>
                <w:rFonts w:ascii="楷体" w:hAnsi="楷体" w:eastAsia="楷体" w:cs="楷体"/>
              </w:rPr>
              <w:t>种类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洞庭山碧螺春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小罐茶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jc w:val="left"/>
              <w:textAlignment w:val="center"/>
            </w:pPr>
            <w:r>
              <w:rPr>
                <w:rFonts w:ascii="楷体" w:hAnsi="楷体" w:eastAsia="楷体" w:cs="楷体"/>
              </w:rPr>
              <w:t>产品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以形灵、色艳、香浓、味醇闻名中外，形成“洞庭碧螺春”区域公用品牌，但驰名产品品牌少。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联手非遗制茶技艺传承人，一灌一泡，以统一的等级、价格、规格，打造现代派全品类高端茶品！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jc w:val="left"/>
              <w:textAlignment w:val="center"/>
            </w:pPr>
            <w:r>
              <w:rPr>
                <w:rFonts w:ascii="楷体" w:hAnsi="楷体" w:eastAsia="楷体" w:cs="楷体"/>
              </w:rPr>
              <w:t>产销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多采用纯传统手工制茶，有采摘、拣剔、摊放、高温杀青、揉捻整形、搓团显毫、文火干燥七道工序，突出摘得早、采得嫩、拣得净。▲产业化程度不高，主要为一家一户小规模分散生产、加工、销售，且茶品质易不稳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以消费品思维做茶，从下游消费端回溯产业链、工业化、再到上游布局生态茶园，以“倒做”塑造全产业链智能化、标准化。▲布局“多品牌+多产品线”，借鉴苹果品牌风格，将产品、品牌和销售渠道相结合。</w:t>
            </w:r>
          </w:p>
        </w:tc>
      </w:tr>
    </w:tbl>
    <w:p>
      <w:pPr>
        <w:shd w:val="clear" w:color="auto" w:fill="FFFFFF"/>
        <w:spacing w:line="360" w:lineRule="auto"/>
        <w:jc w:val="left"/>
        <w:textAlignment w:val="cente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申遗的根本目的是“护遗”。对于传统制茶技艺，有同学认为，创新是最好的传承；有同学认为，传承的关键在于守正。结合材料，请运用逻辑与思维的相关知识，综合评析两种观点。</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11分</w:t>
      </w:r>
      <w:r>
        <w:rPr>
          <w:rFonts w:hint="eastAsia" w:asciiTheme="minorEastAsia" w:hAnsiTheme="minorEastAsia" w:eastAsiaTheme="minorEastAsia" w:cstheme="minorEastAsia"/>
          <w:b/>
          <w:bCs/>
          <w:lang w:eastAsia="zh-CN"/>
        </w:rPr>
        <w:t>）</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hint="eastAsia" w:ascii="黑体" w:eastAsia="黑体" w:cs="黑体"/>
          <w:b/>
          <w:bCs/>
          <w:color w:val="000000"/>
          <w:sz w:val="21"/>
          <w:szCs w:val="21"/>
          <w:u w:val="dotted"/>
          <w:lang w:bidi="ar"/>
        </w:rPr>
      </w:pPr>
      <w:bookmarkStart w:id="0" w:name="_GoBack"/>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wordWrap/>
        <w:spacing w:after="0" w:line="480"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bookmarkEnd w:id="0"/>
    <w:sectPr>
      <w:footerReference r:id="rId3" w:type="default"/>
      <w:footerReference r:id="rId4" w:type="even"/>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CE217"/>
    <w:multiLevelType w:val="singleLevel"/>
    <w:tmpl w:val="6AACE2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85709F3"/>
    <w:rsid w:val="14EB7FD7"/>
    <w:rsid w:val="27EF34E7"/>
    <w:rsid w:val="2ED753FC"/>
    <w:rsid w:val="326F36A0"/>
    <w:rsid w:val="39657AA9"/>
    <w:rsid w:val="63B16210"/>
    <w:rsid w:val="69FA19C4"/>
    <w:rsid w:val="76AB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6208</Words>
  <Characters>6341</Characters>
  <Lines>0</Lines>
  <Paragraphs>0</Paragraphs>
  <TotalTime>0</TotalTime>
  <ScaleCrop>false</ScaleCrop>
  <LinksUpToDate>false</LinksUpToDate>
  <CharactersWithSpaces>11368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2023-06-25T00:36:49Z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7bc4cc1d567d45088684ea0cebd96a7dmjg5mtkxmzmymg</vt:lpwstr>
  </property>
  <property fmtid="{D5CDD505-2E9C-101B-9397-08002B2CF9AE}" pid="4" name="KSOProductBuildVer">
    <vt:lpwstr>2052-11.1.0.14036</vt:lpwstr>
  </property>
  <property fmtid="{D5CDD505-2E9C-101B-9397-08002B2CF9AE}" pid="5" name="ICV">
    <vt:lpwstr>DC592D8E566F4ADD88854360868CF79B_12</vt:lpwstr>
  </property>
</Properties>
</file>