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bidi="ar"/>
        </w:rPr>
        <w:t>江苏省仪征中学 2021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bidi="ar"/>
        </w:rPr>
        <w:t>级高三</w:t>
      </w: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bidi="ar"/>
        </w:rPr>
        <w:t>政治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bidi="ar"/>
        </w:rPr>
        <w:t>假期综合练（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bidi="ar"/>
        </w:rPr>
        <w:t>）</w:t>
      </w:r>
    </w:p>
    <w:p>
      <w:pPr>
        <w:jc w:val="center"/>
        <w:rPr>
          <w:rFonts w:hint="default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bidi="ar"/>
        </w:rPr>
        <w:t>选修2《法律与生活》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一、二单元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bidi="ar"/>
        </w:rPr>
        <w:t>+选修3《逻辑与思维》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一、二单元</w:t>
      </w:r>
    </w:p>
    <w:p>
      <w:pPr>
        <w:spacing w:line="300" w:lineRule="auto"/>
        <w:ind w:firstLine="960" w:firstLineChars="400"/>
        <w:jc w:val="center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研制人：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王晨洁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 xml:space="preserve">  审核人：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 w:bidi="ar"/>
        </w:rPr>
        <w:t>徐蓉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 xml:space="preserve">  完成时长</w:t>
      </w:r>
      <w:r>
        <w:rPr>
          <w:rFonts w:hint="eastAsia" w:ascii="楷体" w:hAnsi="楷体" w:eastAsia="楷体" w:cs="楷体"/>
          <w:color w:val="000000"/>
          <w:kern w:val="0"/>
          <w:sz w:val="24"/>
          <w:lang w:eastAsia="zh-CN" w:bidi="ar"/>
        </w:rPr>
        <w:t>：</w:t>
      </w:r>
      <w:r>
        <w:rPr>
          <w:rFonts w:ascii="楷体" w:hAnsi="楷体" w:eastAsia="楷体" w:cs="楷体"/>
          <w:color w:val="000000"/>
          <w:kern w:val="0"/>
          <w:sz w:val="24"/>
          <w:lang w:bidi="ar"/>
        </w:rPr>
        <w:t>75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960" w:firstLineChars="400"/>
        <w:textAlignment w:val="auto"/>
        <w:rPr>
          <w:rFonts w:ascii="Calibri" w:hAnsi="Calibri" w:eastAsia="楷体"/>
          <w:u w:val="thick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班级：</w:t>
      </w:r>
      <w:r>
        <w:rPr>
          <w:rFonts w:hint="eastAsia" w:ascii="楷体" w:hAnsi="楷体" w:eastAsia="楷体" w:cs="楷体"/>
          <w:color w:val="000000"/>
          <w:kern w:val="0"/>
          <w:sz w:val="24"/>
          <w:u w:val="thick"/>
          <w:lang w:bidi="ar"/>
        </w:rPr>
        <w:t xml:space="preserve">            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 xml:space="preserve">     姓名：</w:t>
      </w:r>
      <w:r>
        <w:rPr>
          <w:rFonts w:hint="eastAsia" w:ascii="楷体" w:hAnsi="楷体" w:eastAsia="楷体" w:cs="楷体"/>
          <w:color w:val="000000"/>
          <w:kern w:val="0"/>
          <w:sz w:val="24"/>
          <w:u w:val="thick"/>
          <w:lang w:bidi="ar"/>
        </w:rPr>
        <w:t xml:space="preserve">             </w:t>
      </w: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 xml:space="preserve">      学号：</w:t>
      </w:r>
      <w:r>
        <w:rPr>
          <w:rFonts w:hint="eastAsia" w:ascii="楷体" w:hAnsi="楷体" w:eastAsia="楷体" w:cs="楷体"/>
          <w:color w:val="000000"/>
          <w:kern w:val="0"/>
          <w:sz w:val="24"/>
          <w:u w:val="thick"/>
          <w:lang w:bidi="ar"/>
        </w:rPr>
        <w:t xml:space="preserve">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甲按照交通规定驾驶电动车在路上正常行驶，前方三轮车上所载的一匹骡子突然狂躁不安，甲毫无预料地被骡子踹翻。甲受伤，后经诊断被判定为肩关节软组织损伤，治疗花费2000元。甲要求骡子的主人赔偿，双方协商未果，到法院起诉。以下说法正确的是（ 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甲的生命权和健康权受到了严重的侵犯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本案法律关系的客体是甲被骡子踹翻的事实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甲主张2000元治疗费，应提供相关医疗费单据等证据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依照过错推定责任，骡子的主人应该对甲承担民事责任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近日火爆荧屏的电视剧《漫长的季节》在片尾声明：“本剧知识产权（包括著作权）由上海腾讯企鹅影视文化传播有限公司独家所有。本剧完整传播权（包括信息网络传播权、广播权、放映权及其他播放本剧的相关法定权利）归腾讯科技（北京）有限公司独家所有。”对此理解正确的是（ 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①著作权法规定了著作权人对其作品享有广泛的权利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②未经权利人许可擅自完整传播该剧的，必须承担相应的违约责任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③该剧的著作权属于自然人，其保护期是作者有生之年加去世后50年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④该剧的知识产权和完整传播权属于法人，其保护期是作品创作完成后50年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①④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②③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某在某网络交易平台向吴某购买了某品牌二手女款包，卖家吴某保证为正品，承诺如假包退。张某拿到商品后委托检测机构进行检测，发现该包并非正品，于是要求商家退货退款。吴某表示，平台用户行为规范明确“交易成功后，不支持售后维权”，故不同意退货退款。据此，下列说法不正确的是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吴某在交易成功后已履行完合同义务，可以不承担相应违约责任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平台利用格式条款不合理地排除消费者权利，该条款应认定为无效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吴某的不诚信经营行为构成不正当竞争，不利于平台经济健康发展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若张某要求退货退款未果，可以要求该网络交易平台承担连带责任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公司向B公司发出特定产品采购单，B公司以批注方式对采购单的进货日期和付款方式进行变更后回传给A公司，A公司当天予以确认，之后，双方又签订补充协议："先由B公司发货60%，再由A公司付清相应货款，余下40%产品，在A公司6个月内付清余款后，B公司立即发货。”A公司在付完第一笔款项后，逾期未付余下货款，B公司于是将余下产品转售其他客户。据此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①B公司变更供货日期和履行方式的意思表示构成新要约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②A公司对B公司的批注条款予以确认标志着合同的生效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③A公司逾期未付清全款，B公司的转售行为不构成违约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④补充协议构成合同内容，影响原订立合同的成立和生效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①④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②③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李某酒后驾驶汽车，与运输公司的罐式货车发生追尾事故，罐式货车装载的一甲胺发生泄漏，给当地鱼塘、农田造成污染。交警部门认定，李某承担此次交通事故的全部责任。当地村民提起诉讼，请求判令李某和运输公司连带赔偿财产损失。对本案认识正确的是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因李某过错发生交通事故，村民可以向李某请求赔偿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环境污染责任属于过错推定责任，村民可以向运输公司请求赔偿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李某负此次交通事故的全部责任，运输公司可以拒绝村民的赔偿请求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根据“谁主张，谁举证”的原则，村民应对自己提出的主张提供证据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赵伟光系某公司经理，和妻子王某二人生有一子一女。儿子赵宏与王英结婚，婚后生有一子赵小刚。赵宏因车祸丧生。女儿赵娟未婚，与父母同住。赵伟光因工作关系经常出差，于某南方城市结识当地女青年钱某，钱某为赵伟光生一子赵扬，赵扬一直随同母亲生活。2022年赵伟光因车祸意外死亡，赵伟光有存款100万元。赵伟光生前没有遗嘱，现其家人因遗产问题产生继承纠纷。关于本案，下列说法正确的是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①赵扬有权继承父亲的合法遗产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②钱某有权继承赵伟光的合法财产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③赵伟光的第一顺序继承人只有王某和赵娟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④赵小刚有权代位继承赵宏的应继份额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①④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②③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老汉丧偶，有两个儿子。李老太离婚，有一儿一女。二人经人介绍结婚，再婚时老人儿女都已成年，二人名下各有一套房产。张老汉的房子是和前妻结婚后单位分配并已经购买了产权的，而李老太名下的房产是和前夫离婚时法院判给李老太所有的。二人婚后居住在张老汉的房子里，而今张老汉突发心脏病去世，没有来得及立遗嘱，丧事办完后，张老汉的儿子要求李老太搬走，为此双方发生争议。材料中的李老太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无权继承张老汉生前所住房子的房产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有权继承张老汉生前所住房子的房产，且可继承该房产份额的三分之一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有权继承张老汉生前所住房子的房产，且可继承该房产份额的八分之三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有权继承张老汉生前所住房子的房产，且可继承该房产份额的九分之二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李某甲、薛某为其不满7周岁的女儿李某乙购买房屋并登记在其名下，随后该房屋被用作李某甲、薛某实际控制的W公司的经营用房。李某丙为W公司提供5000万元借款，李某甲、薛某、W集团为该笔借款提供保证担保。该债务到期未得到清偿，李某丙向人民法院起诉后，依据人民法院判决书要求查封李某甲、薛某为其女儿购买的房屋。李某乙认为自己是房屋的所有人，对该强制执行提出异议。对此，下列说法正确的是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①案涉房屋登记在李某乙名下，人民法院不能强制执行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②案涉房屋实为李某甲、薛某经营用房，应为家庭共有财产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③李某乙为限制民事行为能力人，享有排除强制执行的民事权益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④抵押行为超过李某乙日常生活所需，人民法院可以对案涉房屋强制执行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①③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②④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根据蝙蝠超声波定位器的原理，人们仿制了盲人用的“探路仪”。该探路仪内置有超声波发射器，盲人持有后可以发现电线杆、楼梯、桥上的人等。现在，也制造了具有同样作用的“超声波眼镜”。仿蝙蝠超声波定位器进行研发工作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①依据事物之间相同或相似的属性，进行了类比推理②符合思维的概括性，把握了不同类事物的共同本质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③在对象的要素和结构之间进行类比，实现事物创新④运用联想思维，对不同事物的认识进行联结与思考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①④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②③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下表中“判断或推理”与“逻辑错误”对应正确的是（ 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45"/>
        <w:gridCol w:w="9171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判断或推理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逻辑错误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蝉噪林逾静，鸟鸣山更幽。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自相矛盾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邮件有电子邮件、平寄邮件、国际邮件几大类。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所有三段论推理的三个项都会出现两次，这个推理中的三个项都出现了两次，所以，这个推理是三段论推理。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中项不周延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所有的商品都是劳动产品，所以，所有的劳动产品都是商品。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轻率概括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黑洞是1915年爱因斯坦广义相对论预言存在的一种天体。2022年5月12日，事件视界望远镜（EHT）合作组织正式发布了银河系中心黑洞“人马座A*”的首张照片，这一形状酷似“甜甜圈”的黑洞，进一步验证了爱因斯坦广义相对论的正确性。材料表明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①“甜甜圈”概括了黑洞的形象特征，揭示了黑洞的本质和规律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②从黑洞到“甜甜圈”，表明思维具有跨越的联结性和非逻辑制约的畅想性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③“甜甜圈”的形象是人们根据主体需要，通过畅想的方式而形成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④科学思维结果具有可检验性，黑洞照片验证了爱因斯坦广义相对论的正确性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下列观点与对其逻辑思维规则的理解对应正确的是（ 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"/>
        <w:gridCol w:w="7117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逻辑思维规则的理解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提到苏州，总会想到“水陆并行、河街相邻”的双棋盘格局、“小桥流水、粉墙黛瓦、史迹名园”的独特风貌和“轻清柔美、软糯婉转”的吴依细语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思维在联想时的速度是衡量联想思维水平和能力的重要依据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政治课上，老师要求学生列举一些小发明小创造，学生提出了带橡皮铅笔、印有广告纸杯、钢化玻璃等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运用了检核表法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文学作品分为诗歌、散文、戏剧、长篇小说、中篇小说和短篇小说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对概念的外延划分不当，犯了“越级划分”的错误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王鹏与周伟是朋友，周伟与李佳是朋友，王鹏与李佳不能确定是朋友关系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这属于关系判断中对称性关系里的非传递关系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②③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①④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某校决定举办艺术节，高三5班班长希望全班同学积极报名参加，并提出了如下四点要求：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参加绘画比赛的分为男生组、女生组、特长生组，请自行选择一组参加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如果有重大疾病，就不需要参加比赛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只有向班主任申请并被批准，才能利用班会课排练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班干部要么参加合唱团，要么参加舞蹈队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要求提出后，同学们议论纷纷。下列观点一定为真的是（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班长犯了划分标准不一的错误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王明没有重大疾病，因此一定要参加比赛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文娱委员向班主任提出了申请，因此可以利用班会课排练了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刘阳既喜欢音乐又喜欢舞蹈，因此可以参加合唱团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近期，某地发生了多起犯罪分子自称是“公安机关民警”，以受害人账户涉嫌有风险被冻结为由的电信网络诈骗案件。为此，警方提醒：凡是自称警察用电话联系你要求转款的，都是诈骗！对此提醒理解正确的是（ 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警方的提醒是从一般性前提推出的一般性结论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只有诈骗，才自称警察用电话联系你要求转款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警方的提醒是涉及全部认识对象的完全归纳推理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只有自称警察用电话联系你要求转款的，才是诈骗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下列材料与对其逻辑思维规则的理解对应正确的是（  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"/>
        <w:gridCol w:w="7081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逻辑思维规则的理解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邮件有电子邮件、平寄邮件、国际邮件几大类。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犯“越级划分”的逻辑错误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位农夫曾被恶人诬告，被判了死罪。按当地习俗，可以用抓阄来碰碰运气。抓到“死”阄，必死无疑；抓到“生”阄，可以赦免。恶人买通制阄人，把两个阄都制成了“死”阄。农夫的朋友得知消息后，悄悄告诉了农夫。到了抓阄的那天，农夫随便抓出一阄，放进嘴里吞了下去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在进行不相容的选言推理时，如果否定了选言判断前提中的一部分选言支，结论就可以肯定剩下的另一部分选言支。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通常情况下，对一个物体加热，其他条件不变，随着温度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不断升高，物体的体积会不断膨胀。由此，人们得出结论：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物体受热与物体体积膨胀有因果联系。根据这一原理，人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们制造了体温计、气压表等。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这种探求因果联系的方法是求同求异法。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中学生辩论赛结束后，记者采访了获得冠军的某代表队。记者问：“你们哪位同学获得了最佳辩手？”甲说：“不是我。”乙说：“也不是我。”丙说：“是乙。”其中，只有一个人说的是真话，记者停顿了一会儿，猜出了谁是最佳辩手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最佳辩手是甲，猜测的依据是矛盾律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④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2"/>
        <w:gridCol w:w="672"/>
        <w:gridCol w:w="672"/>
        <w:gridCol w:w="672"/>
        <w:gridCol w:w="673"/>
        <w:gridCol w:w="673"/>
        <w:gridCol w:w="673"/>
        <w:gridCol w:w="674"/>
        <w:gridCol w:w="674"/>
        <w:gridCol w:w="665"/>
        <w:gridCol w:w="665"/>
        <w:gridCol w:w="665"/>
        <w:gridCol w:w="665"/>
        <w:gridCol w:w="621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楷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b/>
          <w:i w:val="0"/>
          <w:sz w:val="21"/>
          <w:szCs w:val="22"/>
        </w:rPr>
        <w:t>二、材料分析题</w:t>
      </w:r>
      <w:r>
        <w:rPr>
          <w:rFonts w:hint="eastAsia" w:ascii="宋体" w:hAnsi="宋体" w:eastAsia="宋体" w:cs="宋体"/>
          <w:b/>
          <w:i w:val="0"/>
          <w:sz w:val="21"/>
          <w:szCs w:val="22"/>
          <w:lang w:eastAsia="zh-CN"/>
        </w:rPr>
        <w:t>（共</w:t>
      </w:r>
      <w:r>
        <w:rPr>
          <w:rFonts w:hint="eastAsia" w:ascii="宋体" w:hAnsi="宋体" w:eastAsia="宋体" w:cs="宋体"/>
          <w:b/>
          <w:i w:val="0"/>
          <w:sz w:val="21"/>
          <w:szCs w:val="22"/>
          <w:lang w:val="en-US" w:eastAsia="zh-CN"/>
        </w:rPr>
        <w:t>5题，55分</w:t>
      </w:r>
      <w:r>
        <w:rPr>
          <w:rFonts w:hint="eastAsia" w:ascii="宋体" w:hAnsi="宋体" w:eastAsia="宋体" w:cs="宋体"/>
          <w:b/>
          <w:i w:val="0"/>
          <w:sz w:val="21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分）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阅读材料，</w:t>
      </w:r>
      <w:r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运用《逻辑与思维》及《法律与生活》的知识，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完成下列</w:t>
      </w:r>
      <w:r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2023年1月1日，新修订的《中华人民共和国妇女权益保障法》开始施行。本次妇女权益保障法修订，是从国家发展全局出发，继2005年、2018年两次修改后的一次全面修订。新修订的妇女权益保障法在原有规定基础上，积极适应新时代、新任务，就维护妇女权益、促进妇女全面发展，提出新的更高要求，由原九章61条，调整为十章86条，丰富了妇女权益保障的制度内容，完善了政府相关保障措施。修订中，草案两次网上公开征求意见，共收到70余万条意见，全国人大常委会在征求各方意见后，多次集中审议才最终表决通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此次修订亮点如下：规定医疗机构施行生育手术、特殊检查或者特殊治疗时，应当征得妇女本人同意；规定媒体有义务客观适度报道涉妇女事件，不得通过夸大事实、过度渲染等方式侵害妇女的权益；明确表示了对职场性别歧视问题的干预态度，规定不得因产假降低女职工工资福利待遇；规定夫妻双方应该共同负担家庭义务、女方对夫妻共同财产享有共同记名权，对夫妻共同所有的不动产以及可以联名登记的动产，女方有权要求在权属证书上记载其姓名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）结合材料，从辩证思维和创新思维的角度，分析《妇女权益保护法》的修订运用了哪些思维方法。（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）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lang w:bidi="ar"/>
        </w:rPr>
        <w:t>【答】</w:t>
      </w: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 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lang w:eastAsia="zh-C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）运用《法律与生活》知识，分析新修订的《妇女权益保障法》的亮点是如何保护“她”的?（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）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lang w:bidi="ar"/>
        </w:rPr>
        <w:t>【答】</w:t>
      </w: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 </w:t>
      </w:r>
    </w:p>
    <w:p>
      <w:pPr>
        <w:keepNext w:val="0"/>
        <w:keepLines w:val="0"/>
        <w:pageBreakBefore w:val="0"/>
        <w:shd w:val="clear" w:color="auto" w:fill="FFFFFF"/>
        <w:wordWrap/>
        <w:overflowPunct/>
        <w:topLinePunct w:val="0"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szCs w:val="21"/>
          <w:lang w:eastAsia="zh-CN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</w:t>
      </w:r>
      <w:bookmarkStart w:id="0" w:name="09547dc8-f683-4ea8-acd9-1d63eadf1df6"/>
    </w:p>
    <w:p>
      <w:pPr>
        <w:keepNext w:val="0"/>
        <w:keepLines w:val="0"/>
        <w:pageBreakBefore w:val="0"/>
        <w:shd w:val="clear" w:color="auto" w:fill="FFFFFF"/>
        <w:wordWrap/>
        <w:overflowPunct/>
        <w:topLinePunct w:val="0"/>
        <w:bidi w:val="0"/>
        <w:spacing w:line="240" w:lineRule="auto"/>
        <w:ind w:firstLine="422" w:firstLineChars="200"/>
        <w:jc w:val="left"/>
        <w:textAlignment w:val="center"/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17.（6分）</w:t>
      </w:r>
      <w:r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罗某某在某网络购物平台开设有网络店铺，从事某品牌电动摩托车锂电池的销售经营活动。罗某某在其网络店铺销售商品时对外宣称，商品“签收15天内支持免费退换货，半年内有质量问题换新，两年保修”。齐某某在罗某某网络店铺购买了前述品牌的电动摩托车锂电池，使用三个月后发现存在充电不满等质量问题，便要求罗某某按销售承诺为其更换新电池。罗某某经检查确认交付的锂电池确实存在质量问题后，同意为齐某某更换新的电池。更换电池后，齐某某仍发现存在同样的质量问题，通过平台与罗某某协商，罗某某明确此前并未给齐某某换新电池，仅更换了电芯，并以销售承诺中的“换新”仅指换“新电芯”为由，拒绝为齐某某更换全新的电池。齐某某因此诉至法院，请求判令解除与罗某某的信息网络购物合同，并由罗某某退还已支付的商品价款。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4"/>
          <w:lang w:val="en-US" w:eastAsia="zh-CN" w:bidi="ar-SA"/>
        </w:rPr>
        <w:t>结合材料，运用《法律与生活》知识，分析法院是否会支持齐某某的诉讼请求并说明理由。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lang w:bidi="ar"/>
        </w:rPr>
        <w:t>【答】</w:t>
      </w: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/>
        <w:jc w:val="left"/>
        <w:textAlignment w:val="auto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0"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2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12分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南京女子李某购买了一盒进口玻璃杯，15岁的女儿倒开水泡茶时，玻璃杯却突然炸裂，流出的开水烫伤了女儿王某的右腿，右腿有5%表面的二度烫伤。李某认为玻璃杯没有详尽的中文标识，要求商家赔偿女儿相应的医疗费、去疤费、以及自己照顾女儿而产生的误工费等。商家不同意赔偿，理由是玻璃杯上有英文标识“use with beverage below 80℃”,也有中文标识提示“玻璃制品易碎，请小心轻放”。双方协商未果，李某将商家诉至法院。法院通过分别研究有关案情、证据和法律规则等，搞清楚了案件的模糊区域，在此基础上法院做出案件的结论，判决商家败诉并承担相应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4"/>
          <w:lang w:val="en-US" w:eastAsia="zh-CN" w:bidi="ar-SA"/>
        </w:rPr>
        <w:t>结合材料，运用《法律与生活》的相关知识，对原告、被告和当地法院的做法进行评析。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lang w:bidi="ar"/>
        </w:rPr>
        <w:t>【答】</w:t>
      </w: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2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19.（9分）</w:t>
      </w: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一天，周瑜在商议军事时提出让诸葛亮赶制10万枝箭。诸葛亮答应三天造好，立下了军令状。诸葛亮事后请鲁肃帮他借船、军士和草把子。第三天，诸葛亮请鲁肃一起去取箭。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遂命将二十只船，用长索相连，径望北岸进发。是夜大雾漫天，长江之中，雾气更甚，对面不相见。孔明促舟前进，果然是好大雾！……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当夜五更时候，船已近曹操水寨。孔明教把船只头西尾东，一带摆开，就船上擂鼓呐喊。鲁肃惊曰：“倘曹兵齐出，如之奈何？”孔明笑曰：“吾料曹操于重霁中必不敢出。吾等只顾酌酒取乐，待雾散便回。”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却说曹寨中，听得擂鼓呐喊，毛介、于禁二人慌忙飞报曹操。操传令曰：“重霁迷江，彼军忽至，必有埋伏，切不可轻动。可拨水军弓弩手乱箭射之。”又差人往旱寨内唤张辽、徐晃各带弓弩军三千，火速到江边助射。比及号令到来，毛瑜、于禁怕南军抢入水寨，已差弓弩手在寨前放箭；少顷，旱寨内弓弩手亦到，约一万余人，尽皆向江中放箭：箭如雨发。孔明教把船吊回，头东尾西，逼近水寨受箭，一面擂鼓呐喊。待至日高雾散，孔明令收船急回。二十只船两边束草上，排满箭枝。孔明令各船上军士齐声叫曰："谢丞相箭！"比及曹军寨内报知曹操时，这里船轻水急，已放回二十余里，追之不及。曹操懊悔不已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4"/>
          <w:lang w:val="en-US" w:eastAsia="zh-CN" w:bidi="ar-SA"/>
        </w:rPr>
        <w:t>请结合材料，运用科学思维的知识分析“草船借箭”蕴含的智慧。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lang w:bidi="ar"/>
        </w:rPr>
        <w:t>【答】</w:t>
      </w: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bookmarkStart w:id="1" w:name="_GoBack"/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</w:t>
      </w:r>
    </w:p>
    <w:bookmarkEnd w:id="1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10分</w:t>
      </w:r>
      <w:r>
        <w:rPr>
          <w:rFonts w:hint="eastAsia" w:ascii="楷体" w:hAnsi="楷体" w:eastAsia="楷体" w:cs="楷体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孙师傅十多年前就已经取得A2驾驶证，有资格驾驶大型货车并牵引挂车。因工作需要驾驶大型客车，孙师傅于2022年1月通过交管部门考试，增驾了A1驾驶证。2022年6月，孙师傅驾驶货车牵引挂车发生交通事故，遂要求所投保的保险公司对其损失予以理赔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保险公司以保险合同已经载明“实习期内驾驶的被保险机动车牵引挂车，保险人不负陪偿责任”为由拒绝理赔。孙师傅表示自己早就过了实习期，不认同保险公司的说法。依据是《中华人民共和国道路交通安全法》中明确规定，“机动车驾驶人初次申领机动车驾驶证后的12个月为实习期”。保险公司方面则援引2016年颁布的《机动车驾驶证申领和使用规定》第七十四条：“机动车驾驶人初次申领机动车驾驶证后的12个月、增加准驾车型后的12个月为实习期”，认定实习期还应包括增加准驾车型后的12个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经过审理，法院最终采取了《道路交通安全法》对于“实习期”的界定，并作出判决，支持原告孙师傅的诉求，要求保险公司履行合同，支付赔偿金。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注：《中华人民共和国保险法》规究表明保险人提供的格式条款订立保险合同，保险人与投保人、被保险人或者受益人对合同条款存在争议的，应该按照通常理解予以解释。对合同条款存在两种以上解释的，人民法院或者仲裁机构应当作出有利于被保险人和受益人的解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napToGrid w:val="0"/>
          <w:color w:val="FF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4"/>
          <w:lang w:val="en-US" w:eastAsia="zh-CN" w:bidi="ar-SA"/>
        </w:rPr>
        <w:t>结合材料，请运用《法律与生活》和《逻辑与思维》的相关知识，分析法院支持原告诉求的理由。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lang w:bidi="ar"/>
        </w:rPr>
        <w:t>【答】</w:t>
      </w: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             </w:t>
      </w:r>
    </w:p>
    <w:p>
      <w:pPr>
        <w:pStyle w:val="4"/>
        <w:wordWrap/>
        <w:spacing w:after="0" w:line="48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4098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jM0ZDE3MDI5NTk1OTYzMWZiN2RiODcyZjQ4YWIifQ=="/>
  </w:docVars>
  <w:rsids>
    <w:rsidRoot w:val="5B671B0B"/>
    <w:rsid w:val="0004440C"/>
    <w:rsid w:val="001F4911"/>
    <w:rsid w:val="002A0EF8"/>
    <w:rsid w:val="00370B34"/>
    <w:rsid w:val="003737D4"/>
    <w:rsid w:val="00516FA4"/>
    <w:rsid w:val="00547545"/>
    <w:rsid w:val="006E6725"/>
    <w:rsid w:val="00706EB7"/>
    <w:rsid w:val="00777EDE"/>
    <w:rsid w:val="0088302A"/>
    <w:rsid w:val="00A46DE8"/>
    <w:rsid w:val="00AA0D9F"/>
    <w:rsid w:val="00B46455"/>
    <w:rsid w:val="00D25C31"/>
    <w:rsid w:val="00F3085E"/>
    <w:rsid w:val="00FE3FE7"/>
    <w:rsid w:val="082636FD"/>
    <w:rsid w:val="0DC9777B"/>
    <w:rsid w:val="1059036C"/>
    <w:rsid w:val="128B0082"/>
    <w:rsid w:val="16F26AE9"/>
    <w:rsid w:val="1BBF6E5F"/>
    <w:rsid w:val="1E6D19E6"/>
    <w:rsid w:val="287E286B"/>
    <w:rsid w:val="28FD6382"/>
    <w:rsid w:val="2D1A03B9"/>
    <w:rsid w:val="2D914D2D"/>
    <w:rsid w:val="32AB52BB"/>
    <w:rsid w:val="364A51A8"/>
    <w:rsid w:val="378D786B"/>
    <w:rsid w:val="39C51B29"/>
    <w:rsid w:val="43927108"/>
    <w:rsid w:val="44D22496"/>
    <w:rsid w:val="461B60BF"/>
    <w:rsid w:val="47F35303"/>
    <w:rsid w:val="4B296889"/>
    <w:rsid w:val="4C201755"/>
    <w:rsid w:val="4DE33600"/>
    <w:rsid w:val="4E9957EF"/>
    <w:rsid w:val="4EFF09E5"/>
    <w:rsid w:val="4FBA2999"/>
    <w:rsid w:val="50A13664"/>
    <w:rsid w:val="53DA3898"/>
    <w:rsid w:val="5B671B0B"/>
    <w:rsid w:val="5F9E593F"/>
    <w:rsid w:val="745A7477"/>
    <w:rsid w:val="7B2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4"/>
    <w:qFormat/>
    <w:uiPriority w:val="0"/>
    <w:pPr>
      <w:spacing w:line="600" w:lineRule="exact"/>
    </w:pPr>
    <w:rPr>
      <w:sz w:val="18"/>
    </w:rPr>
  </w:style>
  <w:style w:type="paragraph" w:customStyle="1" w:styleId="3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5"/>
    <w:basedOn w:val="3"/>
    <w:next w:val="3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7B75232B38-A165-1FB7-499C-2E1C792CACB5%2525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6395</Words>
  <Characters>6583</Characters>
  <Lines>8</Lines>
  <Paragraphs>2</Paragraphs>
  <TotalTime>0</TotalTime>
  <ScaleCrop>false</ScaleCrop>
  <LinksUpToDate>false</LinksUpToDate>
  <CharactersWithSpaces>11713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2023-06-15T06:44:00Z</dcterms:created>
  <dc:creator>远航</dc:creator>
  <cp:lastModifiedBy>Administrator</cp:lastModifiedBy>
  <dcterms:modified xsi:type="dcterms:W3CDTF">2023-06-25T00:48:07Z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E620961FE4954F7CB7482EFF0CBCAE89_13</vt:lpwstr>
  </property>
</Properties>
</file>