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2.4 环境保护与国家安全</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年5月10日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64"/>
        <w:gridCol w:w="5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794"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205"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794"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举例说明环境保护政策、措施与国家安全的关系。</w:t>
            </w:r>
          </w:p>
        </w:tc>
        <w:tc>
          <w:tcPr>
            <w:tcW w:w="320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了解环境保护的政策和措施。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2.能结合实例，说明环境保护的政策、措施与国家安全的关系。</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77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84</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1．我国的环境保护政策体系</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(1)1983年，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被确定为我国的一项基本国策；而后又确立“预防为主，防治结合”“</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”和“强化环境管理”三大环境保护的基本政策。</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(2)自20世纪80年代起，我国建立和实行了环境管理的“</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即环境影响评价制度、“三同时”制度、排污收费制度、环境保护目标责任制度、城市环境综合整治定量考核制度、排污申报登记和排污许可证制度、限期治理制度、污染集中控制制度。</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(3)我国环境保护政策和措施被逐步纳入</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当中。国家通过制定各种环境法律法规，建立完善的</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，以国家强制力保证实施和贯彻执行。</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2．我国的环境保护措施及成效</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(1)措施：国家坚持污染防治与生态保护并重、生态保护与生态建设并举的环境保护措施，深入实施</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行动计划，积极推进生态系统保护和修复</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(2)成效：全力推进污染治理，改善</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；持续加大生态保护力度，</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明显好转。</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3．我国的生态文明建设</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(1)在思想上：正确认识环境保护与</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的关系，树立经济、社会、生态协调发展的观念。</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(2)在政策上：从国家安全和发展的战略层面解决环境问题，把</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放在突出重要位置。</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(3)在措施上：实行最为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的环境保护制度。</w:t>
      </w:r>
    </w:p>
    <w:p>
      <w:pPr>
        <w:widowControl w:val="0"/>
        <w:tabs>
          <w:tab w:val="left" w:pos="426"/>
          <w:tab w:val="left" w:pos="3402"/>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(4)在行动上：动员</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共同参与环境保护。</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b/>
          <w:bCs/>
        </w:rPr>
        <w:t>探究点</w:t>
      </w:r>
      <w:r>
        <w:rPr>
          <w:rFonts w:hint="eastAsia" w:ascii="宋体" w:hAnsi="宋体" w:eastAsia="宋体" w:cs="宋体"/>
        </w:rPr>
        <w:t>　我国的环境保护政策体系</w:t>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rPr>
        <w:tab/>
      </w:r>
      <w:r>
        <w:rPr>
          <w:rFonts w:hint="eastAsia" w:ascii="宋体" w:hAnsi="宋体" w:eastAsia="宋体" w:cs="宋体"/>
        </w:rPr>
        <w:t>材料一　因近年纸价上涨，利益的驱动使某镇小造纸厂纷纷上马，但因为污水治理设施不配套，造成了极大的环境污染，大量农业用地因受污染而减产，农民纷纷上诉，各小造纸厂最终被环保部门依法取缔。</w:t>
      </w:r>
    </w:p>
    <w:p>
      <w:pPr>
        <w:pStyle w:val="2"/>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rPr>
        <w:tab/>
      </w:r>
      <w:r>
        <w:rPr>
          <w:rFonts w:hint="eastAsia" w:ascii="宋体" w:hAnsi="宋体" w:eastAsia="宋体" w:cs="宋体"/>
        </w:rPr>
        <w:t>材料二　城市环境综合整治定量考核制度，是指通过实行定量考核，对城市政府在推行城市环境综合整治中的活动予以管理和调整的一项环境监督管理制度。城市环境综合整治自1984年起在我国得到广泛推行。</w:t>
      </w:r>
    </w:p>
    <w:p>
      <w:pPr>
        <w:pStyle w:val="2"/>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rPr>
        <w:t>1．[人地协调观]在工厂规划时，建设项目中的环境设施必须与主体工程同时________、同时________和同时________。</w:t>
      </w:r>
    </w:p>
    <w:p>
      <w:pPr>
        <w:pStyle w:val="2"/>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rPr>
        <w:t>2．[综合思维]小造纸厂污水治理设施不配套，造成极大环境污染的事实违反了哪些环境管理政策？</w:t>
      </w:r>
    </w:p>
    <w:p>
      <w:pPr>
        <w:pStyle w:val="2"/>
        <w:numPr>
          <w:ilvl w:val="0"/>
          <w:numId w:val="1"/>
        </w:numPr>
        <w:tabs>
          <w:tab w:val="left" w:pos="426"/>
          <w:tab w:val="left" w:pos="3402"/>
        </w:tabs>
        <w:snapToGrid w:val="0"/>
        <w:spacing w:line="240" w:lineRule="auto"/>
        <w:rPr>
          <w:rFonts w:hint="eastAsia" w:ascii="宋体" w:hAnsi="宋体" w:eastAsia="宋体" w:cs="宋体"/>
        </w:rPr>
      </w:pPr>
      <w:r>
        <w:rPr>
          <w:rFonts w:hint="eastAsia" w:ascii="宋体" w:hAnsi="宋体" w:eastAsia="宋体" w:cs="宋体"/>
        </w:rPr>
        <w:t>[人地协调观]城市环境综合整治定量考核制度的目的是什么？</w:t>
      </w:r>
    </w:p>
    <w:p>
      <w:pPr>
        <w:pStyle w:val="2"/>
        <w:numPr>
          <w:ilvl w:val="0"/>
          <w:numId w:val="0"/>
        </w:numPr>
        <w:tabs>
          <w:tab w:val="left" w:pos="426"/>
          <w:tab w:val="left" w:pos="3402"/>
        </w:tabs>
        <w:snapToGrid w:val="0"/>
        <w:spacing w:line="240" w:lineRule="auto"/>
        <w:rPr>
          <w:rFonts w:hint="eastAsia" w:ascii="宋体" w:hAnsi="宋体" w:eastAsia="宋体" w:cs="宋体"/>
        </w:rPr>
      </w:pPr>
    </w:p>
    <w:p>
      <w:pPr>
        <w:pStyle w:val="2"/>
        <w:numPr>
          <w:ilvl w:val="0"/>
          <w:numId w:val="0"/>
        </w:numPr>
        <w:tabs>
          <w:tab w:val="left" w:pos="426"/>
          <w:tab w:val="left" w:pos="3402"/>
        </w:tabs>
        <w:snapToGrid w:val="0"/>
        <w:spacing w:line="240" w:lineRule="auto"/>
        <w:rPr>
          <w:rFonts w:hint="eastAsia" w:ascii="宋体" w:hAnsi="宋体" w:eastAsia="宋体" w:cs="宋体"/>
        </w:rPr>
      </w:pPr>
    </w:p>
    <w:p>
      <w:pPr>
        <w:pStyle w:val="2"/>
        <w:numPr>
          <w:ilvl w:val="0"/>
          <w:numId w:val="0"/>
        </w:numPr>
        <w:tabs>
          <w:tab w:val="left" w:pos="426"/>
          <w:tab w:val="left" w:pos="3402"/>
        </w:tabs>
        <w:snapToGrid w:val="0"/>
        <w:spacing w:line="240" w:lineRule="auto"/>
        <w:rPr>
          <w:rFonts w:hint="eastAsia" w:ascii="宋体" w:hAnsi="宋体" w:eastAsia="宋体" w:cs="宋体"/>
        </w:rPr>
      </w:pPr>
    </w:p>
    <w:p>
      <w:pPr>
        <w:pStyle w:val="2"/>
        <w:numPr>
          <w:ilvl w:val="0"/>
          <w:numId w:val="1"/>
        </w:numPr>
        <w:tabs>
          <w:tab w:val="left" w:pos="426"/>
          <w:tab w:val="left" w:pos="3402"/>
        </w:tabs>
        <w:snapToGrid w:val="0"/>
        <w:spacing w:line="240" w:lineRule="auto"/>
        <w:ind w:left="0" w:leftChars="0" w:firstLine="0" w:firstLineChars="0"/>
        <w:rPr>
          <w:rFonts w:hint="eastAsia" w:ascii="宋体" w:hAnsi="宋体" w:eastAsia="宋体" w:cs="宋体"/>
        </w:rPr>
      </w:pPr>
      <w:r>
        <w:rPr>
          <w:rFonts w:hint="eastAsia" w:ascii="宋体" w:hAnsi="宋体" w:eastAsia="宋体" w:cs="宋体"/>
        </w:rPr>
        <w:t>[人地协调观]城市环境综合整治是怎样实现城市可持续发展的？</w:t>
      </w:r>
    </w:p>
    <w:p>
      <w:pPr>
        <w:pStyle w:val="2"/>
        <w:numPr>
          <w:ilvl w:val="0"/>
          <w:numId w:val="0"/>
        </w:numPr>
        <w:tabs>
          <w:tab w:val="left" w:pos="426"/>
          <w:tab w:val="left" w:pos="3402"/>
        </w:tabs>
        <w:snapToGrid w:val="0"/>
        <w:spacing w:line="240" w:lineRule="auto"/>
        <w:ind w:leftChars="0"/>
        <w:rPr>
          <w:rFonts w:hint="eastAsia" w:ascii="宋体" w:hAnsi="宋体" w:eastAsia="宋体" w:cs="宋体"/>
        </w:rPr>
      </w:pPr>
    </w:p>
    <w:p>
      <w:pPr>
        <w:pStyle w:val="2"/>
        <w:numPr>
          <w:ilvl w:val="0"/>
          <w:numId w:val="0"/>
        </w:numPr>
        <w:tabs>
          <w:tab w:val="left" w:pos="426"/>
          <w:tab w:val="left" w:pos="3402"/>
        </w:tabs>
        <w:snapToGrid w:val="0"/>
        <w:spacing w:line="240" w:lineRule="auto"/>
        <w:ind w:leftChars="0"/>
        <w:rPr>
          <w:rFonts w:hint="eastAsia" w:ascii="宋体" w:hAnsi="宋体" w:eastAsia="宋体" w:cs="宋体"/>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排污交易权的主要思想就是建立合法的污染物排放权利，即排污权(这种权利通常以排污许可证的形式表现)，并允许这种权利像商品那样被买入和卖出，以此来进行污染物的排放控制。结合所学知识，完成1～3题。</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1．“排污交易”依据的制度是(　　)</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A．排污收费制度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B．限期治理制度</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C．“三同时”制度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D．环境影响评价制度</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2．“排污交易”对下列企业有利的是(　　)</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A．造纸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B．钢铁</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C．有色冶金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D．微电子</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3．“排污交易”是环境保护政策中运用的哪种手段(　　)</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A．法律  B．教育  C．经济  D．行政</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(2021·广东广州模拟)下图示意城市生活垃圾回收网络模式。读图回答4～5题。</w:t>
      </w:r>
    </w:p>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"I:\\王真\\2021\\同步\\看PPT\\地理 选择性必修3 鲁 苏 云\\WORD\\S141.TIF"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3506470" cy="2256155"/>
            <wp:effectExtent l="0" t="0" r="1778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r:link="rId6"/>
                    <a:stretch>
                      <a:fillRect/>
                    </a:stretch>
                  </pic:blipFill>
                  <pic:spPr>
                    <a:xfrm>
                      <a:off x="0" y="0"/>
                      <a:ext cx="3506470" cy="225615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4．下列生活垃圾属于可回收物的是(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A．贝壳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B．橘皮</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C．水银温度计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D．橡胶篮球</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5．下列符合该回收网络模式特点的是(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①居民是回收利用的主要责任者　②上游企业负责包装废弃物的回收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③下游企业负责包装产品的生产　④成立以废品回收为主体的合作社</w:t>
      </w:r>
    </w:p>
    <w:p>
      <w:pPr>
        <w:widowControl w:val="0"/>
        <w:tabs>
          <w:tab w:val="left" w:pos="426"/>
          <w:tab w:val="left" w:pos="3402"/>
        </w:tabs>
        <w:snapToGrid w:val="0"/>
        <w:spacing w:line="240" w:lineRule="auto"/>
        <w:ind w:firstLine="210" w:firstLineChars="100"/>
        <w:jc w:val="both"/>
        <w:rPr>
          <w:rFonts w:hint="eastAsia" w:ascii="宋体" w:hAnsi="宋体" w:eastAsia="宋体" w:cs="宋体"/>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396865" cy="626110"/>
                <wp:effectExtent l="4445" t="4445" r="6985" b="6350"/>
                <wp:wrapNone/>
                <wp:docPr id="33" name="文本框 33"/>
                <wp:cNvGraphicFramePr/>
                <a:graphic xmlns:a="http://schemas.openxmlformats.org/drawingml/2006/main">
                  <a:graphicData uri="http://schemas.microsoft.com/office/word/2010/wordprocessingShape">
                    <wps:wsp>
                      <wps:cNvSpPr txBox="1"/>
                      <wps:spPr>
                        <a:xfrm>
                          <a:off x="0" y="0"/>
                          <a:ext cx="5396865" cy="626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49.3pt;width:424.95pt;z-index:251660288;mso-width-relative:page;mso-height-relative:page;" fillcolor="#FFFFFF [3201]" filled="t" stroked="t" coordsize="21600,21600" o:gfxdata="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U9a/9IAAAAH&#10;AQAADwAAAAAAAAABACAAAAAiAAAAZHJzL2Rvd25yZXYueG1sUEsBAhQAFAAAAAgAh07iQKz1pqBb&#10;AgAAuQQAAA4AAAAAAAAAAQAgAAAAIQ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rPr>
          <w:rFonts w:hint="eastAsia" w:ascii="黑体" w:hAnsi="宋体" w:eastAsia="黑体"/>
          <w:b/>
          <w:sz w:val="28"/>
          <w:szCs w:val="28"/>
        </w:rPr>
      </w:pPr>
      <w:r>
        <w:rPr>
          <w:rFonts w:hint="eastAsia" w:ascii="黑体" w:hAnsi="宋体" w:eastAsia="黑体"/>
          <w:b/>
          <w:sz w:val="28"/>
          <w:szCs w:val="28"/>
        </w:rPr>
        <w:br w:type="page"/>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numPr>
          <w:ilvl w:val="0"/>
          <w:numId w:val="0"/>
        </w:numPr>
        <w:autoSpaceDE w:val="0"/>
        <w:autoSpaceDN w:val="0"/>
        <w:jc w:val="center"/>
        <w:rPr>
          <w:rFonts w:hint="eastAsia" w:ascii="楷体" w:hAnsi="楷体" w:eastAsia="楷体" w:cs="楷体"/>
          <w:bCs/>
          <w:sz w:val="24"/>
          <w:szCs w:val="24"/>
          <w:lang w:val="en-US" w:eastAsia="zh-CN"/>
        </w:rPr>
      </w:pPr>
      <w:r>
        <w:rPr>
          <w:rFonts w:hint="eastAsia" w:ascii="黑体" w:hAnsi="黑体" w:eastAsia="黑体" w:cs="黑体"/>
          <w:b/>
          <w:kern w:val="0"/>
          <w:sz w:val="28"/>
          <w:szCs w:val="28"/>
          <w:lang w:val="en-US" w:bidi="zh-CN"/>
        </w:rPr>
        <w:t>2.4 环境保护与国家安全</w:t>
      </w:r>
      <w:r>
        <w:rPr>
          <w:rFonts w:hint="eastAsia" w:ascii="楷体" w:hAnsi="楷体" w:eastAsia="楷体" w:cs="楷体"/>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10</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widowControl w:val="0"/>
        <w:tabs>
          <w:tab w:val="left" w:pos="426"/>
          <w:tab w:val="left" w:pos="3402"/>
        </w:tabs>
        <w:snapToGrid w:val="0"/>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2019年7月1日在上海实行的垃圾分类处罚方法《条例》规定，产生生活垃圾的单位和个人应当将生活垃圾分别投放至相应的收集容器，不得随意丢弃垃圾。此次《条例》将垃圾明确为“四分法”，包括可回收物、有害垃圾、湿垃圾和干垃圾4种，其中“湿垃圾”指易腐的生物质生活废弃物。该《条例》还规定：如果混合投放垃圾，最高可罚200元。这标志着上海垃圾分类将步入强制时代。据此完成1～2题。</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1．适合“湿垃圾”的处理方式是(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焚烧                        B．填埋</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C．露天堆放                    D．堆肥</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2．上海垃圾分类将步入强制时代，说明了(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社会公众素质低              B．垃圾处理资金较短缺</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C．环境管理在加强              D．人们环保意识在提高</w:t>
      </w:r>
    </w:p>
    <w:p>
      <w:pPr>
        <w:widowControl w:val="0"/>
        <w:tabs>
          <w:tab w:val="left" w:pos="426"/>
          <w:tab w:val="left" w:pos="3402"/>
        </w:tabs>
        <w:snapToGrid w:val="0"/>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2018年10月24日，生态环境部发布《环境影响评价公众参与办法》配套文件的公告。根据该办法的相关规定，将《建设项目环境影响评价公众意见表》等2个配套文件予以公告，与该办法一并施行。据此完成3～4题。</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3．该公告发布体现了________参与环境评价(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A．政府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B．公众</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C．企业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D．开发商</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4．环境影响评价制度是实现________的最有效手段之一(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A．预防为主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B．防治结合</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C．强化管理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D．三同时</w:t>
      </w:r>
    </w:p>
    <w:p>
      <w:pPr>
        <w:widowControl w:val="0"/>
        <w:tabs>
          <w:tab w:val="left" w:pos="426"/>
          <w:tab w:val="left" w:pos="3402"/>
        </w:tabs>
        <w:snapToGrid w:val="0"/>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青海海东地区强调了建设项目环境保护的有关规定，以有效制止建设项目中未审批就建设，未验收就投产的违法行为。据此完成5～6题。</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5．海东地区环境保护部门主要运用的手段是(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①行政手段　②法律手段　③经济手段　④教育手段</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B．③④            C．①③          D．②④</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6．我国许多大城市对工程建设项目能否立项建设实施论证，其执行的环境管理制度是(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A．环境影响评价制度                  B．环境保护目标责任制</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C．城市环境综合整治定量考核制度      D．限期治理制度</w:t>
      </w:r>
    </w:p>
    <w:p>
      <w:pPr>
        <w:widowControl w:val="0"/>
        <w:tabs>
          <w:tab w:val="left" w:pos="426"/>
          <w:tab w:val="left" w:pos="3402"/>
        </w:tabs>
        <w:snapToGrid w:val="0"/>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内蒙古自治区呼伦贝尔市某煤矿区地处农牧交错带，开矿前其附近某湖泊面积常年保持稳定，开矿后该区地下水和湖泊水水位发生了明显改变(下图)。据此完成7～9题。</w:t>
      </w:r>
    </w:p>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选择性必修3（新教材）鲁苏云\\WORD\\S143.TIF"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选择性必修3（新教材）鲁苏云\\WORD\\S143.TIF"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选择性必修3（新教材）鲁苏云\\WORD\\S143.TIF"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"I:\\王真\\2021\\同步\\看PPT\\地理 选择性必修3 鲁 苏 云\\WORD\\S143.TIF"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3264535" cy="1264920"/>
            <wp:effectExtent l="0" t="0" r="1206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r:link="rId8"/>
                    <a:stretch>
                      <a:fillRect/>
                    </a:stretch>
                  </pic:blipFill>
                  <pic:spPr>
                    <a:xfrm>
                      <a:off x="0" y="0"/>
                      <a:ext cx="3264535" cy="1264920"/>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7．一年中该矿区地下水位最高的季节是(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A．春季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B．夏季</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C．秋季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D．冬季</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8．随着煤炭的开采，湖泊干涸速度加快的原因是(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①区域年降水量减少　②湖泊渗漏水量增多　③地下水补给减少　④湖底淤泥厚度增加</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B．②③</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C．③④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D．①④</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9．为减缓该区域地下水位下降的趋势，下列措施最可行的是(　　)</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A．积极植树造林，涵养地下水   B．收集矿井积水，直灌地下水</w:t>
      </w:r>
    </w:p>
    <w:p>
      <w:pPr>
        <w:widowControl w:val="0"/>
        <w:tabs>
          <w:tab w:val="left" w:pos="426"/>
          <w:tab w:val="left" w:pos="3402"/>
        </w:tabs>
        <w:snapToGrid w:val="0"/>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C．修建人工湖泊，补给地下水   D．减少耕地面积，节约地下水</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tabs>
          <w:tab w:val="left" w:pos="426"/>
          <w:tab w:val="left" w:pos="3402"/>
        </w:tabs>
        <w:snapToGrid w:val="0"/>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生态红线是指对生态、经济、社会可持续发展具有重要意义，必须严格管理的空间边界线。下表为“某年南京市部分生态红线区域面积统计表”。据此完成10～11题。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85"/>
        <w:gridCol w:w="228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类型</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总面积(km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c>
          <w:tcPr>
            <w:tcW w:w="228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类型</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总面积(km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风景名胜区</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373.16</w:t>
            </w:r>
          </w:p>
        </w:tc>
        <w:tc>
          <w:tcPr>
            <w:tcW w:w="228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生态绿地</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洪水调蓄区</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32.61</w:t>
            </w:r>
          </w:p>
        </w:tc>
        <w:tc>
          <w:tcPr>
            <w:tcW w:w="228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饮用水水源保护区</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森林公园</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211.30</w:t>
            </w:r>
          </w:p>
        </w:tc>
        <w:tc>
          <w:tcPr>
            <w:tcW w:w="2286"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重要湿地</w:t>
            </w:r>
          </w:p>
        </w:tc>
        <w:tc>
          <w:tcPr>
            <w:tcW w:w="1785" w:type="dxa"/>
            <w:shd w:val="clear" w:color="auto" w:fill="auto"/>
            <w:vAlign w:val="center"/>
          </w:tcPr>
          <w:p>
            <w:pPr>
              <w:pStyle w:val="2"/>
              <w:tabs>
                <w:tab w:val="left" w:pos="426"/>
                <w:tab w:val="left" w:pos="3402"/>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127.42</w:t>
            </w:r>
          </w:p>
        </w:tc>
      </w:tr>
    </w:tbl>
    <w:p>
      <w:pPr>
        <w:pStyle w:val="2"/>
        <w:tabs>
          <w:tab w:val="left" w:pos="426"/>
          <w:tab w:val="left" w:pos="3402"/>
        </w:tabs>
        <w:snapToGrid w:val="0"/>
        <w:spacing w:line="240" w:lineRule="auto"/>
        <w:rPr>
          <w:rFonts w:hint="eastAsia" w:ascii="宋体" w:hAnsi="宋体" w:eastAsia="宋体" w:cs="宋体"/>
          <w:sz w:val="21"/>
          <w:szCs w:val="21"/>
        </w:rPr>
      </w:pPr>
    </w:p>
    <w:p>
      <w:pPr>
        <w:pStyle w:val="2"/>
        <w:tabs>
          <w:tab w:val="left" w:pos="426"/>
          <w:tab w:val="left" w:pos="3402"/>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10.下列说法正确的是(　　)</w:t>
      </w:r>
    </w:p>
    <w:p>
      <w:pPr>
        <w:pStyle w:val="2"/>
        <w:tabs>
          <w:tab w:val="left" w:pos="426"/>
          <w:tab w:val="left" w:pos="3402"/>
        </w:tabs>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A．生态红线区兼有生态、经济效益</w:t>
      </w:r>
      <w:r>
        <w:rPr>
          <w:rFonts w:hint="eastAsia" w:hAnsi="宋体" w:eastAsia="宋体" w:cs="宋体"/>
          <w:sz w:val="21"/>
          <w:szCs w:val="21"/>
          <w:lang w:val="en-US" w:eastAsia="zh-CN"/>
        </w:rPr>
        <w:t xml:space="preserve">      </w:t>
      </w:r>
      <w:r>
        <w:rPr>
          <w:rFonts w:hint="eastAsia" w:ascii="宋体" w:hAnsi="宋体" w:eastAsia="宋体" w:cs="宋体"/>
          <w:sz w:val="21"/>
          <w:szCs w:val="21"/>
        </w:rPr>
        <w:t>B．设置生态红线的主要目的是划定城市边界</w:t>
      </w:r>
    </w:p>
    <w:p>
      <w:pPr>
        <w:pStyle w:val="2"/>
        <w:tabs>
          <w:tab w:val="left" w:pos="426"/>
          <w:tab w:val="left" w:pos="3402"/>
        </w:tabs>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C．生态红线区决定南京环境承载力</w:t>
      </w:r>
      <w:r>
        <w:rPr>
          <w:rFonts w:hint="eastAsia" w:hAnsi="宋体" w:eastAsia="宋体" w:cs="宋体"/>
          <w:sz w:val="21"/>
          <w:szCs w:val="21"/>
          <w:lang w:val="en-US" w:eastAsia="zh-CN"/>
        </w:rPr>
        <w:t xml:space="preserve">      </w:t>
      </w:r>
      <w:r>
        <w:rPr>
          <w:rFonts w:hint="eastAsia" w:ascii="宋体" w:hAnsi="宋体" w:eastAsia="宋体" w:cs="宋体"/>
          <w:sz w:val="21"/>
          <w:szCs w:val="21"/>
        </w:rPr>
        <w:t>D．设置生态红线区将阻碍南京城市面积扩大</w:t>
      </w:r>
    </w:p>
    <w:p>
      <w:pPr>
        <w:pStyle w:val="2"/>
        <w:tabs>
          <w:tab w:val="left" w:pos="426"/>
          <w:tab w:val="left" w:pos="3402"/>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11．保护生态红线区对南京城市环境的意义是(　　)</w:t>
      </w:r>
    </w:p>
    <w:p>
      <w:pPr>
        <w:pStyle w:val="2"/>
        <w:tabs>
          <w:tab w:val="left" w:pos="426"/>
          <w:tab w:val="left" w:pos="3402"/>
        </w:tabs>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A．调节城市气候，扩大昼夜温差</w:t>
      </w:r>
      <w:r>
        <w:rPr>
          <w:rFonts w:hint="eastAsia" w:hAnsi="宋体" w:eastAsia="宋体" w:cs="宋体"/>
          <w:sz w:val="21"/>
          <w:szCs w:val="21"/>
          <w:lang w:val="en-US" w:eastAsia="zh-CN"/>
        </w:rPr>
        <w:t xml:space="preserve">        </w:t>
      </w:r>
      <w:r>
        <w:rPr>
          <w:rFonts w:hint="eastAsia" w:ascii="宋体" w:hAnsi="宋体" w:eastAsia="宋体" w:cs="宋体"/>
          <w:sz w:val="21"/>
          <w:szCs w:val="21"/>
        </w:rPr>
        <w:t>B．影响城市水循环，地表径流变化增大</w:t>
      </w:r>
    </w:p>
    <w:p>
      <w:pPr>
        <w:pStyle w:val="2"/>
        <w:tabs>
          <w:tab w:val="left" w:pos="426"/>
          <w:tab w:val="left" w:pos="3402"/>
        </w:tabs>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C．保护生物多样性，改变植被类型</w:t>
      </w:r>
      <w:r>
        <w:rPr>
          <w:rFonts w:hint="eastAsia" w:hAnsi="宋体" w:eastAsia="宋体" w:cs="宋体"/>
          <w:sz w:val="21"/>
          <w:szCs w:val="21"/>
          <w:lang w:val="en-US" w:eastAsia="zh-CN"/>
        </w:rPr>
        <w:t xml:space="preserve">      </w:t>
      </w:r>
      <w:r>
        <w:rPr>
          <w:rFonts w:hint="eastAsia" w:ascii="宋体" w:hAnsi="宋体" w:eastAsia="宋体" w:cs="宋体"/>
          <w:sz w:val="21"/>
          <w:szCs w:val="21"/>
        </w:rPr>
        <w:t>D．提高环境自净能力</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12．阅读下列材料，回答相关问题。(14分)</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材料一　在发展经济的同时，我国不断加大对工业污染治理的投资力度，政府通过政策引导企业减少污染排放，避免“先污染，后治理”。</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材料二　2001～2005年中国工业污染治理投资来源构成表。</w:t>
      </w:r>
    </w:p>
    <w:tbl>
      <w:tblPr>
        <w:tblStyle w:val="5"/>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01"/>
        <w:gridCol w:w="2119"/>
        <w:gridCol w:w="185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年份</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投资总额(亿元)</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国家预算内资金(%)</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企业自筹资金(%)</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2001</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174.48</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20.83</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4.29</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2002</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188.37</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22.28</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4.25</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2003</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221.79</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8.45</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64.00</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2004</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308.11</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4.50</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73.81</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2005</w:t>
            </w:r>
          </w:p>
        </w:tc>
        <w:tc>
          <w:tcPr>
            <w:tcW w:w="1701"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458.19</w:t>
            </w:r>
          </w:p>
        </w:tc>
        <w:tc>
          <w:tcPr>
            <w:tcW w:w="2119"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1.70</w:t>
            </w:r>
          </w:p>
        </w:tc>
        <w:tc>
          <w:tcPr>
            <w:tcW w:w="1850"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78.93</w:t>
            </w:r>
          </w:p>
        </w:tc>
        <w:tc>
          <w:tcPr>
            <w:tcW w:w="1127"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19.37</w:t>
            </w:r>
          </w:p>
        </w:tc>
      </w:tr>
    </w:tbl>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2"/>
        </w:numPr>
        <w:tabs>
          <w:tab w:val="left" w:pos="426"/>
          <w:tab w:val="left" w:pos="3402"/>
          <w:tab w:val="clear" w:pos="31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分析表中数据，指出我国工业污染治理投资来源的变化趋势。(4分)</w:t>
      </w: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2"/>
        </w:numPr>
        <w:tabs>
          <w:tab w:val="left" w:pos="426"/>
          <w:tab w:val="left" w:pos="3402"/>
          <w:tab w:val="clear" w:pos="312"/>
        </w:tabs>
        <w:snapToGrid w:val="0"/>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通过表中数据判读我国污染治理责任的变化。(4分)</w:t>
      </w: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2"/>
        </w:numPr>
        <w:tabs>
          <w:tab w:val="left" w:pos="426"/>
          <w:tab w:val="left" w:pos="3402"/>
          <w:tab w:val="clear" w:pos="312"/>
        </w:tabs>
        <w:snapToGrid w:val="0"/>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企业应如何避免“先污染，后治理”？(6分)</w:t>
      </w: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13．(2021·山东济南模拟)阅读下列材料，回答相关问题。(12分)</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分属不同行政区的河流，污染和治理往往很难统筹协调。源于安徽省的新安江，为钱塘江正源，是浙江省最大河流。2012年，安徽、浙江以水质“约法”，共同设立环境补偿基金。两省之间，若年度水质达到考核标准，则浙江拨付给安徽1亿元人民币；若年度水质达不到考核标准，则安徽拨付给浙江1亿元人民币。经过近几年的实践，新安江生态补偿机制被确认是协调“绿水青山”保护者与“金山银山”受益者之间利益调配的有效机制。</w:t>
      </w:r>
    </w:p>
    <w:p>
      <w:pPr>
        <w:widowControl w:val="0"/>
        <w:numPr>
          <w:ilvl w:val="0"/>
          <w:numId w:val="3"/>
        </w:numPr>
        <w:tabs>
          <w:tab w:val="left" w:pos="426"/>
          <w:tab w:val="left" w:pos="3402"/>
          <w:tab w:val="clear" w:pos="31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指出新安江生态补偿机制的益处。(4分)</w:t>
      </w: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3"/>
        </w:numPr>
        <w:tabs>
          <w:tab w:val="left" w:pos="426"/>
          <w:tab w:val="left" w:pos="3402"/>
          <w:tab w:val="clear" w:pos="312"/>
        </w:tabs>
        <w:snapToGrid w:val="0"/>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推测安徽省治理新安江可能采取的措施。(8分)</w:t>
      </w: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14．(2021·贵州六盘水模拟)阅读图文资料，完成下列要求。(10分)</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红树林是生长在热带、亚热带海岸潮间带，受周期性潮水浸淹，以红树植物为主体的常绿灌木或乔木组成的潮滩沼泽木本生物群落。红树林不仅具有强大的生态服务功能，而且还能对海堤和陆上生产起到保护作用。在生态文明建设的引导下，我国雷州半岛沿海实施了红树林生态系统恢复工程，成效显著。</w:t>
      </w:r>
    </w:p>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"I:\\王真\\2021\\同步\\看PPT\\地理 选择性必修3 鲁 苏 云\\WORD\\S144.TIF"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2707005" cy="1236345"/>
            <wp:effectExtent l="0" t="0" r="17145"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r:link="rId10"/>
                    <a:stretch>
                      <a:fillRect/>
                    </a:stretch>
                  </pic:blipFill>
                  <pic:spPr>
                    <a:xfrm>
                      <a:off x="0" y="0"/>
                      <a:ext cx="2707005" cy="123634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说明雷州半岛红树林生态系统对沿海海堤、农业生产所起到的保护作用及带来的生态效益。</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drawing>
          <wp:anchor distT="0" distB="0" distL="114300" distR="114300" simplePos="0" relativeHeight="251661312" behindDoc="0" locked="0" layoutInCell="1" allowOverlap="1">
            <wp:simplePos x="0" y="0"/>
            <wp:positionH relativeFrom="column">
              <wp:posOffset>3474720</wp:posOffset>
            </wp:positionH>
            <wp:positionV relativeFrom="paragraph">
              <wp:posOffset>121920</wp:posOffset>
            </wp:positionV>
            <wp:extent cx="2056765" cy="2617470"/>
            <wp:effectExtent l="0" t="0" r="635" b="1143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2056765" cy="2617470"/>
                    </a:xfrm>
                    <a:prstGeom prst="rect">
                      <a:avLst/>
                    </a:prstGeom>
                  </pic:spPr>
                </pic:pic>
              </a:graphicData>
            </a:graphic>
          </wp:anchor>
        </w:drawing>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spacing w:line="240" w:lineRule="auto"/>
        <w:ind w:firstLine="420"/>
        <w:jc w:val="left"/>
        <w:textAlignment w:val="center"/>
        <w:rPr>
          <w:rFonts w:hint="eastAsia" w:ascii="宋体" w:hAnsi="宋体" w:eastAsia="宋体" w:cs="宋体"/>
          <w:bCs/>
          <w:sz w:val="21"/>
          <w:szCs w:val="21"/>
        </w:rPr>
      </w:pPr>
      <w:bookmarkStart w:id="0" w:name="_GoBack"/>
      <w:bookmarkEnd w:id="0"/>
      <w:r>
        <w:rPr>
          <w:rFonts w:hint="eastAsia" w:ascii="宋体" w:hAnsi="宋体" w:eastAsia="宋体" w:cs="宋体"/>
          <w:bCs/>
          <w:sz w:val="21"/>
          <w:szCs w:val="21"/>
        </w:rPr>
        <w:t>生态保护红线是指在自然生态服务功能、环境质量安全、自然资源利用等方面，实行严格保护的空间边界与管理限值，是保障和维护国家生态安全的底线和生命线。生态保护红线所圈定的空间范围是具有重要生态功能、必须强制性保护的区域。下图为江苏省生态保护红线圈定区城分布图。读图完成</w:t>
      </w:r>
      <w:r>
        <w:rPr>
          <w:rFonts w:hint="eastAsia" w:ascii="宋体" w:hAnsi="宋体" w:eastAsia="宋体" w:cs="宋体"/>
          <w:bCs/>
          <w:sz w:val="21"/>
          <w:szCs w:val="21"/>
          <w:lang w:val="en-US" w:eastAsia="zh-CN"/>
        </w:rPr>
        <w:t>15</w:t>
      </w:r>
      <w:r>
        <w:rPr>
          <w:rFonts w:hint="eastAsia" w:ascii="宋体" w:hAnsi="宋体" w:eastAsia="宋体" w:cs="宋体"/>
          <w:bCs/>
          <w:sz w:val="21"/>
          <w:szCs w:val="21"/>
        </w:rPr>
        <w:t>-</w:t>
      </w:r>
      <w:r>
        <w:rPr>
          <w:rFonts w:hint="eastAsia" w:ascii="宋体" w:hAnsi="宋体" w:eastAsia="宋体" w:cs="宋体"/>
          <w:bCs/>
          <w:sz w:val="21"/>
          <w:szCs w:val="21"/>
          <w:lang w:val="en-US" w:eastAsia="zh-CN"/>
        </w:rPr>
        <w:t>16</w:t>
      </w:r>
      <w:r>
        <w:rPr>
          <w:rFonts w:hint="eastAsia" w:ascii="宋体" w:hAnsi="宋体" w:eastAsia="宋体" w:cs="宋体"/>
          <w:bCs/>
          <w:sz w:val="21"/>
          <w:szCs w:val="21"/>
        </w:rPr>
        <w:t>题。</w:t>
      </w: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lang w:val="en-US" w:eastAsia="zh-CN"/>
        </w:rPr>
        <w:t>15</w:t>
      </w:r>
      <w:r>
        <w:rPr>
          <w:rFonts w:hint="eastAsia" w:ascii="宋体" w:hAnsi="宋体" w:eastAsia="宋体" w:cs="宋体"/>
          <w:bCs/>
          <w:sz w:val="21"/>
          <w:szCs w:val="21"/>
        </w:rPr>
        <w:t>．下列关于江苏省生态保护红线圈定区域分布特点的叙述，正确的有（     ）</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A．陆上水域面积大于海上水域面积</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B．山地丘陵地区面积大于平原地区面积</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C．沿海滩涂面积占比较高</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D．生态保护红线圈定区域主要集中在江苏南部地区</w:t>
      </w: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lang w:val="en-US" w:eastAsia="zh-CN"/>
        </w:rPr>
        <w:t>16</w:t>
      </w:r>
      <w:r>
        <w:rPr>
          <w:rFonts w:hint="eastAsia" w:ascii="宋体" w:hAnsi="宋体" w:eastAsia="宋体" w:cs="宋体"/>
          <w:bCs/>
          <w:sz w:val="21"/>
          <w:szCs w:val="21"/>
        </w:rPr>
        <w:t>．苏南地区保障生态环境安全的措施有（     ）</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①确保人口、经济布局与资源环境承载力相适应</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②加快土地资源开发利用，增强经济产出能力</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③涉及的生态系统各部门采取分块式管理方式</w:t>
      </w:r>
    </w:p>
    <w:p>
      <w:pPr>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④通过现代信息技术加强对生态保护红线圈定区域的动态监管和监测</w:t>
      </w:r>
    </w:p>
    <w:p>
      <w:pPr>
        <w:tabs>
          <w:tab w:val="left" w:pos="2076"/>
          <w:tab w:val="left" w:pos="4153"/>
          <w:tab w:val="left" w:pos="6229"/>
        </w:tabs>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A．①②</w:t>
      </w:r>
      <w:r>
        <w:rPr>
          <w:rFonts w:hint="eastAsia" w:ascii="宋体" w:hAnsi="宋体" w:eastAsia="宋体" w:cs="宋体"/>
          <w:bCs/>
          <w:sz w:val="21"/>
          <w:szCs w:val="21"/>
        </w:rPr>
        <w:tab/>
      </w:r>
      <w:r>
        <w:rPr>
          <w:rFonts w:hint="eastAsia" w:ascii="宋体" w:hAnsi="宋体" w:eastAsia="宋体" w:cs="宋体"/>
          <w:bCs/>
          <w:sz w:val="21"/>
          <w:szCs w:val="21"/>
        </w:rPr>
        <w:t>B．②③</w:t>
      </w:r>
      <w:r>
        <w:rPr>
          <w:rFonts w:hint="eastAsia" w:ascii="宋体" w:hAnsi="宋体" w:eastAsia="宋体" w:cs="宋体"/>
          <w:bCs/>
          <w:sz w:val="21"/>
          <w:szCs w:val="21"/>
        </w:rPr>
        <w:tab/>
      </w:r>
      <w:r>
        <w:rPr>
          <w:rFonts w:hint="eastAsia" w:ascii="宋体" w:hAnsi="宋体" w:eastAsia="宋体" w:cs="宋体"/>
          <w:bCs/>
          <w:sz w:val="21"/>
          <w:szCs w:val="21"/>
        </w:rPr>
        <w:t>C．①④</w:t>
      </w:r>
      <w:r>
        <w:rPr>
          <w:rFonts w:hint="eastAsia" w:ascii="宋体" w:hAnsi="宋体" w:eastAsia="宋体" w:cs="宋体"/>
          <w:bCs/>
          <w:sz w:val="21"/>
          <w:szCs w:val="21"/>
        </w:rPr>
        <w:tab/>
      </w:r>
      <w:r>
        <w:rPr>
          <w:rFonts w:hint="eastAsia" w:ascii="宋体" w:hAnsi="宋体" w:eastAsia="宋体" w:cs="宋体"/>
          <w:bCs/>
          <w:sz w:val="21"/>
          <w:szCs w:val="21"/>
        </w:rPr>
        <w:t>D．③④</w:t>
      </w:r>
    </w:p>
    <w:p>
      <w:pPr>
        <w:spacing w:line="240" w:lineRule="auto"/>
        <w:ind w:firstLine="420"/>
        <w:jc w:val="left"/>
        <w:textAlignment w:val="center"/>
        <w:rPr>
          <w:rFonts w:hint="eastAsia" w:ascii="宋体" w:hAnsi="宋体" w:eastAsia="宋体" w:cs="宋体"/>
          <w:bCs/>
          <w:sz w:val="21"/>
          <w:szCs w:val="21"/>
        </w:rPr>
      </w:pPr>
      <w:r>
        <w:rPr>
          <w:rFonts w:hint="eastAsia" w:ascii="宋体" w:hAnsi="宋体" w:eastAsia="宋体" w:cs="宋体"/>
          <w:bCs/>
          <w:sz w:val="21"/>
          <w:szCs w:val="21"/>
        </w:rPr>
        <w:t>我国于2018年1月1日施行《中华人民共和国环境保护税法》。辽宁、吉林、安徽和新疆等地明确应纳大气污染物和水污染物适用税额按照《中华人民共和国环境保护税法》确定的最低限额征收，而北京、天津、河北等地普遍对大气污染物和水污染物执行较高的适用税额。据此完成下面1</w:t>
      </w:r>
      <w:r>
        <w:rPr>
          <w:rFonts w:hint="eastAsia" w:ascii="宋体" w:hAnsi="宋体" w:eastAsia="宋体" w:cs="宋体"/>
          <w:bCs/>
          <w:sz w:val="21"/>
          <w:szCs w:val="21"/>
          <w:lang w:val="en-US" w:eastAsia="zh-CN"/>
        </w:rPr>
        <w:t>7</w:t>
      </w:r>
      <w:r>
        <w:rPr>
          <w:rFonts w:hint="eastAsia" w:ascii="宋体" w:hAnsi="宋体" w:eastAsia="宋体" w:cs="宋体"/>
          <w:bCs/>
          <w:sz w:val="21"/>
          <w:szCs w:val="21"/>
        </w:rPr>
        <w:t>-1</w:t>
      </w:r>
      <w:r>
        <w:rPr>
          <w:rFonts w:hint="eastAsia" w:ascii="宋体" w:hAnsi="宋体" w:eastAsia="宋体" w:cs="宋体"/>
          <w:bCs/>
          <w:sz w:val="21"/>
          <w:szCs w:val="21"/>
          <w:lang w:val="en-US" w:eastAsia="zh-CN"/>
        </w:rPr>
        <w:t>8</w:t>
      </w:r>
      <w:r>
        <w:rPr>
          <w:rFonts w:hint="eastAsia" w:ascii="宋体" w:hAnsi="宋体" w:eastAsia="宋体" w:cs="宋体"/>
          <w:bCs/>
          <w:sz w:val="21"/>
          <w:szCs w:val="21"/>
        </w:rPr>
        <w:t>题。</w:t>
      </w: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7</w:t>
      </w:r>
      <w:r>
        <w:rPr>
          <w:rFonts w:hint="eastAsia" w:ascii="宋体" w:hAnsi="宋体" w:eastAsia="宋体" w:cs="宋体"/>
          <w:bCs/>
          <w:sz w:val="21"/>
          <w:szCs w:val="21"/>
        </w:rPr>
        <w:t>．京津冀等地执行较高的大气污染物和水污染物税额的主要原因是（     ）</w:t>
      </w:r>
    </w:p>
    <w:p>
      <w:pPr>
        <w:tabs>
          <w:tab w:val="left" w:pos="4153"/>
        </w:tabs>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A．排污总量大</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B．环境压力大</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C．环境容量大</w:t>
      </w:r>
      <w:r>
        <w:rPr>
          <w:rFonts w:hint="eastAsia" w:ascii="宋体" w:hAnsi="宋体" w:eastAsia="宋体" w:cs="宋体"/>
          <w:bCs/>
          <w:sz w:val="21"/>
          <w:szCs w:val="21"/>
        </w:rPr>
        <w:tab/>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D．经济实力强</w:t>
      </w: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8</w:t>
      </w:r>
      <w:r>
        <w:rPr>
          <w:rFonts w:hint="eastAsia" w:ascii="宋体" w:hAnsi="宋体" w:eastAsia="宋体" w:cs="宋体"/>
          <w:bCs/>
          <w:sz w:val="21"/>
          <w:szCs w:val="21"/>
        </w:rPr>
        <w:t>．征收环境保护税对我国实现经济可持续发展的意义是（     ）</w:t>
      </w:r>
    </w:p>
    <w:p>
      <w:pPr>
        <w:tabs>
          <w:tab w:val="left" w:pos="2076"/>
          <w:tab w:val="left" w:pos="4153"/>
          <w:tab w:val="left" w:pos="6229"/>
        </w:tabs>
        <w:spacing w:line="240" w:lineRule="auto"/>
        <w:ind w:firstLine="210" w:firstLineChars="100"/>
        <w:jc w:val="left"/>
        <w:textAlignment w:val="center"/>
        <w:rPr>
          <w:rFonts w:hint="eastAsia" w:ascii="宋体" w:hAnsi="宋体" w:eastAsia="宋体" w:cs="宋体"/>
          <w:bCs/>
          <w:sz w:val="21"/>
          <w:szCs w:val="21"/>
        </w:rPr>
      </w:pPr>
      <w:r>
        <w:rPr>
          <w:rFonts w:hint="eastAsia" w:ascii="宋体" w:hAnsi="宋体" w:eastAsia="宋体" w:cs="宋体"/>
          <w:bCs/>
          <w:sz w:val="21"/>
          <w:szCs w:val="21"/>
        </w:rPr>
        <w:t>A．降低企业成本</w:t>
      </w:r>
      <w:r>
        <w:rPr>
          <w:rFonts w:hint="eastAsia" w:ascii="宋体" w:hAnsi="宋体" w:eastAsia="宋体" w:cs="宋体"/>
          <w:bCs/>
          <w:sz w:val="21"/>
          <w:szCs w:val="21"/>
        </w:rPr>
        <w:tab/>
      </w:r>
      <w:r>
        <w:rPr>
          <w:rFonts w:hint="eastAsia" w:ascii="宋体" w:hAnsi="宋体" w:eastAsia="宋体" w:cs="宋体"/>
          <w:bCs/>
          <w:sz w:val="21"/>
          <w:szCs w:val="21"/>
        </w:rPr>
        <w:t>B．增加政府税收</w:t>
      </w:r>
      <w:r>
        <w:rPr>
          <w:rFonts w:hint="eastAsia" w:ascii="宋体" w:hAnsi="宋体" w:eastAsia="宋体" w:cs="宋体"/>
          <w:bCs/>
          <w:sz w:val="21"/>
          <w:szCs w:val="21"/>
        </w:rPr>
        <w:tab/>
      </w:r>
      <w:r>
        <w:rPr>
          <w:rFonts w:hint="eastAsia" w:ascii="宋体" w:hAnsi="宋体" w:eastAsia="宋体" w:cs="宋体"/>
          <w:bCs/>
          <w:sz w:val="21"/>
          <w:szCs w:val="21"/>
        </w:rPr>
        <w:t>C．减少原料投入</w:t>
      </w:r>
      <w:r>
        <w:rPr>
          <w:rFonts w:hint="eastAsia" w:ascii="宋体" w:hAnsi="宋体" w:eastAsia="宋体" w:cs="宋体"/>
          <w:bCs/>
          <w:sz w:val="21"/>
          <w:szCs w:val="21"/>
        </w:rPr>
        <w:tab/>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D．促进产业转型</w:t>
      </w: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9</w:t>
      </w:r>
      <w:r>
        <w:rPr>
          <w:rFonts w:hint="eastAsia" w:ascii="宋体" w:hAnsi="宋体" w:eastAsia="宋体" w:cs="宋体"/>
          <w:bCs/>
          <w:sz w:val="21"/>
          <w:szCs w:val="21"/>
        </w:rPr>
        <w:t>．阅读图文材料，完成下列要求。（24分）</w:t>
      </w:r>
    </w:p>
    <w:p>
      <w:pPr>
        <w:spacing w:line="240" w:lineRule="auto"/>
        <w:ind w:firstLine="420"/>
        <w:jc w:val="left"/>
        <w:textAlignment w:val="center"/>
        <w:rPr>
          <w:rFonts w:hint="eastAsia" w:ascii="宋体" w:hAnsi="宋体" w:eastAsia="宋体" w:cs="宋体"/>
          <w:bCs/>
          <w:sz w:val="21"/>
          <w:szCs w:val="21"/>
        </w:rPr>
      </w:pPr>
      <w:r>
        <w:rPr>
          <w:rFonts w:hint="eastAsia" w:ascii="宋体" w:hAnsi="宋体" w:eastAsia="宋体" w:cs="宋体"/>
          <w:bCs/>
          <w:sz w:val="21"/>
          <w:szCs w:val="21"/>
        </w:rPr>
        <w:drawing>
          <wp:anchor distT="0" distB="0" distL="114300" distR="114300" simplePos="0" relativeHeight="251662336" behindDoc="0" locked="0" layoutInCell="1" allowOverlap="1">
            <wp:simplePos x="0" y="0"/>
            <wp:positionH relativeFrom="column">
              <wp:posOffset>3122295</wp:posOffset>
            </wp:positionH>
            <wp:positionV relativeFrom="paragraph">
              <wp:posOffset>88900</wp:posOffset>
            </wp:positionV>
            <wp:extent cx="2414905" cy="1786890"/>
            <wp:effectExtent l="0" t="0" r="4445" b="3810"/>
            <wp:wrapSquare wrapText="bothSides"/>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2414905" cy="1786890"/>
                    </a:xfrm>
                    <a:prstGeom prst="rect">
                      <a:avLst/>
                    </a:prstGeom>
                  </pic:spPr>
                </pic:pic>
              </a:graphicData>
            </a:graphic>
          </wp:anchor>
        </w:drawing>
      </w:r>
      <w:r>
        <w:rPr>
          <w:rFonts w:hint="eastAsia" w:ascii="宋体" w:hAnsi="宋体" w:eastAsia="宋体" w:cs="宋体"/>
          <w:bCs/>
          <w:sz w:val="21"/>
          <w:szCs w:val="21"/>
        </w:rPr>
        <w:t>河砂的粒径和磨圆度适中，受力合理，杂质少，是天生的“建筑伴侣”。河流是天然的流动建材厂,粒径不同的砂石及泥沙会富集沉积在特定河段及河床分层中，有规律可循，但再生周期较长。近年来，巨量超采盗采使得一些富集优质砂资源的河湖遭受重创，建筑用砂价格暴涨，各地区出台了禁采河砂的政策。现在，砂子家族的新成员―机制砂正在登上应用舞台并大规模使用。机制砂原料来源广泛，除了各种岩石，还可以利用建筑废料和矿山尾矿。</w:t>
      </w:r>
    </w:p>
    <w:p>
      <w:pPr>
        <w:numPr>
          <w:ilvl w:val="0"/>
          <w:numId w:val="4"/>
        </w:num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rPr>
        <w:t>试对“河流是天然的流动建材厂”作出合理解释。</w:t>
      </w:r>
    </w:p>
    <w:p>
      <w:pPr>
        <w:numPr>
          <w:ilvl w:val="0"/>
          <w:numId w:val="0"/>
        </w:numPr>
        <w:spacing w:line="240" w:lineRule="auto"/>
        <w:jc w:val="left"/>
        <w:textAlignment w:val="center"/>
        <w:rPr>
          <w:rFonts w:hint="eastAsia" w:ascii="宋体" w:hAnsi="宋体" w:eastAsia="宋体" w:cs="宋体"/>
          <w:bCs/>
          <w:sz w:val="21"/>
          <w:szCs w:val="21"/>
        </w:rPr>
      </w:pPr>
    </w:p>
    <w:p>
      <w:pPr>
        <w:numPr>
          <w:ilvl w:val="0"/>
          <w:numId w:val="0"/>
        </w:numPr>
        <w:spacing w:line="240" w:lineRule="auto"/>
        <w:jc w:val="left"/>
        <w:textAlignment w:val="center"/>
        <w:rPr>
          <w:rFonts w:hint="eastAsia" w:ascii="宋体" w:hAnsi="宋体" w:eastAsia="宋体" w:cs="宋体"/>
          <w:bCs/>
          <w:sz w:val="21"/>
          <w:szCs w:val="21"/>
        </w:rPr>
      </w:pPr>
    </w:p>
    <w:p>
      <w:pPr>
        <w:numPr>
          <w:ilvl w:val="0"/>
          <w:numId w:val="4"/>
        </w:numPr>
        <w:spacing w:line="240" w:lineRule="auto"/>
        <w:ind w:left="0" w:leftChars="0" w:firstLine="0" w:firstLineChars="0"/>
        <w:jc w:val="left"/>
        <w:textAlignment w:val="center"/>
        <w:rPr>
          <w:rFonts w:hint="eastAsia" w:ascii="宋体" w:hAnsi="宋体" w:eastAsia="宋体" w:cs="宋体"/>
          <w:bCs/>
          <w:sz w:val="21"/>
          <w:szCs w:val="21"/>
        </w:rPr>
      </w:pPr>
      <w:r>
        <w:rPr>
          <w:rFonts w:hint="eastAsia" w:ascii="宋体" w:hAnsi="宋体" w:eastAsia="宋体" w:cs="宋体"/>
          <w:bCs/>
          <w:sz w:val="21"/>
          <w:szCs w:val="21"/>
        </w:rPr>
        <w:t>根据材料，推断大量采砂深坑出现造成的不利影响。</w:t>
      </w:r>
    </w:p>
    <w:p>
      <w:pPr>
        <w:numPr>
          <w:ilvl w:val="0"/>
          <w:numId w:val="0"/>
        </w:numPr>
        <w:spacing w:line="240" w:lineRule="auto"/>
        <w:ind w:leftChars="0"/>
        <w:jc w:val="left"/>
        <w:textAlignment w:val="center"/>
        <w:rPr>
          <w:rFonts w:hint="eastAsia" w:ascii="宋体" w:hAnsi="宋体" w:eastAsia="宋体" w:cs="宋体"/>
          <w:bCs/>
          <w:sz w:val="21"/>
          <w:szCs w:val="21"/>
        </w:rPr>
      </w:pPr>
    </w:p>
    <w:p>
      <w:pPr>
        <w:numPr>
          <w:ilvl w:val="0"/>
          <w:numId w:val="0"/>
        </w:numPr>
        <w:spacing w:line="240" w:lineRule="auto"/>
        <w:ind w:leftChars="0"/>
        <w:jc w:val="left"/>
        <w:textAlignment w:val="center"/>
        <w:rPr>
          <w:rFonts w:hint="eastAsia" w:ascii="宋体" w:hAnsi="宋体" w:eastAsia="宋体" w:cs="宋体"/>
          <w:bCs/>
          <w:sz w:val="21"/>
          <w:szCs w:val="21"/>
        </w:rPr>
      </w:pPr>
    </w:p>
    <w:p>
      <w:pPr>
        <w:numPr>
          <w:ilvl w:val="0"/>
          <w:numId w:val="0"/>
        </w:numPr>
        <w:spacing w:line="240" w:lineRule="auto"/>
        <w:ind w:leftChars="0"/>
        <w:jc w:val="left"/>
        <w:textAlignment w:val="center"/>
        <w:rPr>
          <w:rFonts w:hint="eastAsia" w:ascii="宋体" w:hAnsi="宋体" w:eastAsia="宋体" w:cs="宋体"/>
          <w:bCs/>
          <w:sz w:val="21"/>
          <w:szCs w:val="21"/>
        </w:rPr>
      </w:pPr>
    </w:p>
    <w:p>
      <w:pPr>
        <w:spacing w:line="240" w:lineRule="auto"/>
        <w:jc w:val="left"/>
        <w:textAlignment w:val="center"/>
        <w:rPr>
          <w:rFonts w:hint="eastAsia" w:ascii="宋体" w:hAnsi="宋体" w:eastAsia="宋体" w:cs="宋体"/>
          <w:bCs/>
          <w:sz w:val="21"/>
          <w:szCs w:val="21"/>
        </w:rPr>
      </w:pPr>
      <w:r>
        <w:rPr>
          <w:rFonts w:hint="eastAsia" w:ascii="宋体" w:hAnsi="宋体" w:eastAsia="宋体" w:cs="宋体"/>
          <w:bCs/>
          <w:sz w:val="21"/>
          <w:szCs w:val="21"/>
        </w:rPr>
        <w:t>(3)河砂巨量超采盗采问题突出，请你为解决该问题提出合理建议。</w:t>
      </w:r>
    </w:p>
    <w:p>
      <w:pPr>
        <w:pStyle w:val="2"/>
        <w:tabs>
          <w:tab w:val="left" w:pos="3402"/>
        </w:tabs>
        <w:snapToGrid w:val="0"/>
        <w:spacing w:line="240" w:lineRule="auto"/>
        <w:rPr>
          <w:rFonts w:hint="eastAsia" w:ascii="宋体" w:hAnsi="宋体" w:eastAsia="宋体" w:cs="宋体"/>
          <w:sz w:val="21"/>
          <w:szCs w:val="21"/>
          <w:lang w:val="zh-CN"/>
        </w:rPr>
      </w:pP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BCA68"/>
    <w:multiLevelType w:val="singleLevel"/>
    <w:tmpl w:val="860BCA68"/>
    <w:lvl w:ilvl="0" w:tentative="0">
      <w:start w:val="1"/>
      <w:numFmt w:val="decimal"/>
      <w:lvlText w:val="(%1)"/>
      <w:lvlJc w:val="left"/>
      <w:pPr>
        <w:tabs>
          <w:tab w:val="left" w:pos="312"/>
        </w:tabs>
      </w:pPr>
    </w:lvl>
  </w:abstractNum>
  <w:abstractNum w:abstractNumId="1">
    <w:nsid w:val="C7EE99A7"/>
    <w:multiLevelType w:val="singleLevel"/>
    <w:tmpl w:val="C7EE99A7"/>
    <w:lvl w:ilvl="0" w:tentative="0">
      <w:start w:val="1"/>
      <w:numFmt w:val="decimal"/>
      <w:lvlText w:val="(%1)"/>
      <w:lvlJc w:val="left"/>
      <w:pPr>
        <w:tabs>
          <w:tab w:val="left" w:pos="312"/>
        </w:tabs>
      </w:pPr>
    </w:lvl>
  </w:abstractNum>
  <w:abstractNum w:abstractNumId="2">
    <w:nsid w:val="3B76C64A"/>
    <w:multiLevelType w:val="singleLevel"/>
    <w:tmpl w:val="3B76C64A"/>
    <w:lvl w:ilvl="0" w:tentative="0">
      <w:start w:val="3"/>
      <w:numFmt w:val="decimal"/>
      <w:suff w:val="nothing"/>
      <w:lvlText w:val="%1．"/>
      <w:lvlJc w:val="left"/>
    </w:lvl>
  </w:abstractNum>
  <w:abstractNum w:abstractNumId="3">
    <w:nsid w:val="56D08653"/>
    <w:multiLevelType w:val="singleLevel"/>
    <w:tmpl w:val="56D08653"/>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87969AB"/>
    <w:rsid w:val="08853FFD"/>
    <w:rsid w:val="08932218"/>
    <w:rsid w:val="0A3666CE"/>
    <w:rsid w:val="0C8C0597"/>
    <w:rsid w:val="133C0BDD"/>
    <w:rsid w:val="1A0E1F0C"/>
    <w:rsid w:val="1BFC6A44"/>
    <w:rsid w:val="1EC96870"/>
    <w:rsid w:val="1EE70F67"/>
    <w:rsid w:val="20B174CF"/>
    <w:rsid w:val="20DC5095"/>
    <w:rsid w:val="280428F8"/>
    <w:rsid w:val="28B8330E"/>
    <w:rsid w:val="32BA1F29"/>
    <w:rsid w:val="32E27A95"/>
    <w:rsid w:val="34C71F92"/>
    <w:rsid w:val="36617D4E"/>
    <w:rsid w:val="38EB0F3E"/>
    <w:rsid w:val="393E405E"/>
    <w:rsid w:val="4689063A"/>
    <w:rsid w:val="52193EB6"/>
    <w:rsid w:val="52FB3200"/>
    <w:rsid w:val="53E60CF1"/>
    <w:rsid w:val="540137E6"/>
    <w:rsid w:val="55C3411C"/>
    <w:rsid w:val="57767B14"/>
    <w:rsid w:val="59E6664E"/>
    <w:rsid w:val="60E34E2E"/>
    <w:rsid w:val="62052DB0"/>
    <w:rsid w:val="639210F8"/>
    <w:rsid w:val="6E1F5182"/>
    <w:rsid w:val="73016438"/>
    <w:rsid w:val="78143B0B"/>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143.TIF" TargetMode="External"/><Relationship Id="rId7" Type="http://schemas.openxmlformats.org/officeDocument/2006/relationships/image" Target="media/image2.png"/><Relationship Id="rId6" Type="http://schemas.openxmlformats.org/officeDocument/2006/relationships/image" Target="S14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S14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4326</Words>
  <Characters>4679</Characters>
  <Lines>0</Lines>
  <Paragraphs>0</Paragraphs>
  <TotalTime>0</TotalTime>
  <ScaleCrop>false</ScaleCrop>
  <LinksUpToDate>false</LinksUpToDate>
  <CharactersWithSpaces>5195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2023-05-11T14:20:36Z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162C7EBDBF5F45789E148A47A68EB78E</vt:lpwstr>
  </property>
</Properties>
</file>