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2</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rPr>
        <w:t>学年度第</w:t>
      </w:r>
      <w:r>
        <w:rPr>
          <w:rFonts w:hint="eastAsia" w:ascii="黑体" w:hAnsi="黑体" w:eastAsia="黑体" w:cs="黑体"/>
          <w:b/>
          <w:bCs/>
          <w:sz w:val="28"/>
          <w:szCs w:val="28"/>
          <w:u w:val="none"/>
          <w:lang w:eastAsia="zh-CN"/>
        </w:rPr>
        <w:t>二</w:t>
      </w:r>
      <w:r>
        <w:rPr>
          <w:rFonts w:hint="eastAsia" w:ascii="黑体" w:hAnsi="黑体" w:eastAsia="黑体" w:cs="黑体"/>
          <w:b/>
          <w:bCs/>
          <w:sz w:val="28"/>
          <w:szCs w:val="28"/>
          <w:u w:val="none"/>
        </w:rPr>
        <w:t>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pPr>
        <w:numPr>
          <w:ilvl w:val="0"/>
          <w:numId w:val="0"/>
        </w:numPr>
        <w:autoSpaceDE w:val="0"/>
        <w:autoSpaceDN w:val="0"/>
        <w:jc w:val="center"/>
        <w:rPr>
          <w:rFonts w:hint="eastAsia" w:ascii="黑体" w:hAnsi="黑体" w:eastAsia="黑体" w:cs="黑体"/>
          <w:b/>
          <w:kern w:val="0"/>
          <w:sz w:val="28"/>
          <w:szCs w:val="28"/>
          <w:lang w:val="en-US" w:bidi="zh-CN"/>
        </w:rPr>
      </w:pPr>
      <w:r>
        <w:rPr>
          <w:rFonts w:hint="eastAsia" w:ascii="黑体" w:hAnsi="黑体" w:eastAsia="黑体" w:cs="黑体"/>
          <w:b/>
          <w:kern w:val="0"/>
          <w:sz w:val="28"/>
          <w:szCs w:val="28"/>
          <w:lang w:val="en-US" w:bidi="zh-CN"/>
        </w:rPr>
        <w:t>2.3污染物跨境转移与环境安全</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jc w:val="both"/>
        <w:rPr>
          <w:rFonts w:hint="default" w:ascii="楷体" w:hAnsi="楷体" w:eastAsia="楷体" w:cs="楷体"/>
          <w:b/>
          <w:bCs/>
          <w:sz w:val="24"/>
          <w:u w:val="none"/>
          <w:lang w:val="en-US" w:eastAsia="zh-CN"/>
        </w:rPr>
      </w:pPr>
      <w:r>
        <w:rPr>
          <w:rFonts w:hint="eastAsia" w:ascii="楷体" w:hAnsi="楷体" w:eastAsia="楷体" w:cs="楷体"/>
          <w:bCs/>
          <w:sz w:val="24"/>
        </w:rPr>
        <w:t>班级：__________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姓名：__________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学号：________</w:t>
      </w:r>
      <w:r>
        <w:rPr>
          <w:rFonts w:hint="eastAsia" w:ascii="楷体" w:hAnsi="楷体" w:eastAsia="楷体" w:cs="楷体"/>
          <w:bCs/>
          <w:sz w:val="24"/>
          <w:lang w:val="en-US" w:eastAsia="zh-CN"/>
        </w:rPr>
        <w:t xml:space="preserve"> </w:t>
      </w:r>
      <w:r>
        <w:rPr>
          <w:rFonts w:hint="eastAsia" w:ascii="楷体" w:hAnsi="楷体" w:eastAsia="楷体" w:cs="楷体"/>
          <w:bCs/>
          <w:sz w:val="24"/>
        </w:rPr>
        <w:t>授课日期：</w:t>
      </w:r>
      <w:r>
        <w:rPr>
          <w:rFonts w:hint="eastAsia" w:ascii="楷体" w:hAnsi="楷体" w:eastAsia="楷体" w:cs="楷体"/>
          <w:bCs/>
          <w:sz w:val="24"/>
          <w:lang w:val="en-US" w:eastAsia="zh-CN"/>
        </w:rPr>
        <w:t>2023</w:t>
      </w:r>
      <w:r>
        <w:rPr>
          <w:rFonts w:hint="eastAsia" w:ascii="楷体" w:hAnsi="楷体" w:eastAsia="楷体" w:cs="楷体"/>
          <w:bCs/>
          <w:sz w:val="24"/>
          <w:u w:val="none"/>
          <w:lang w:val="en-US" w:eastAsia="zh-CN"/>
        </w:rPr>
        <w:t>年5月9日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sz w:val="21"/>
          <w:szCs w:val="21"/>
          <w:u w:val="single"/>
          <w:lang w:val="en-US" w:eastAsia="zh-CN"/>
        </w:rPr>
      </w:pPr>
      <w:r>
        <w:rPr>
          <w:rFonts w:hint="eastAsia" w:ascii="宋体" w:hAnsi="宋体" w:eastAsia="宋体" w:cs="宋体"/>
          <w:b/>
          <w:sz w:val="21"/>
          <w:szCs w:val="21"/>
        </w:rPr>
        <w:t>【课程标准及要求】</w:t>
      </w:r>
    </w:p>
    <w:tbl>
      <w:tblPr>
        <w:tblStyle w:val="5"/>
        <w:tblpPr w:leftFromText="180" w:rightFromText="180" w:vertAnchor="text" w:horzAnchor="page" w:tblpX="952" w:tblpY="188"/>
        <w:tblOverlap w:val="never"/>
        <w:tblW w:w="503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623"/>
        <w:gridCol w:w="5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2056" w:type="pct"/>
          </w:tcPr>
          <w:p>
            <w:pPr>
              <w:keepNext w:val="0"/>
              <w:keepLines w:val="0"/>
              <w:pageBreakBefore w:val="0"/>
              <w:widowControl w:val="0"/>
              <w:kinsoku/>
              <w:wordWrap/>
              <w:overflowPunct/>
              <w:topLinePunct w:val="0"/>
              <w:autoSpaceDE w:val="0"/>
              <w:autoSpaceDN w:val="0"/>
              <w:bidi w:val="0"/>
              <w:adjustRightInd/>
              <w:spacing w:line="240" w:lineRule="auto"/>
              <w:ind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en-US" w:bidi="zh-CN"/>
              </w:rPr>
              <w:t xml:space="preserve">   </w:t>
            </w:r>
            <w:r>
              <w:rPr>
                <w:rFonts w:hint="eastAsia" w:ascii="宋体" w:hAnsi="宋体" w:eastAsia="宋体" w:cs="宋体"/>
                <w:bCs/>
                <w:sz w:val="21"/>
                <w:szCs w:val="21"/>
                <w:lang w:val="zh-CN" w:bidi="zh-CN"/>
              </w:rPr>
              <w:t>课程标准</w:t>
            </w:r>
          </w:p>
        </w:tc>
        <w:tc>
          <w:tcPr>
            <w:tcW w:w="2943" w:type="pct"/>
          </w:tcPr>
          <w:p>
            <w:pPr>
              <w:keepNext w:val="0"/>
              <w:keepLines w:val="0"/>
              <w:pageBreakBefore w:val="0"/>
              <w:widowControl w:val="0"/>
              <w:kinsoku/>
              <w:wordWrap/>
              <w:overflowPunct/>
              <w:topLinePunct w:val="0"/>
              <w:autoSpaceDE w:val="0"/>
              <w:autoSpaceDN w:val="0"/>
              <w:bidi w:val="0"/>
              <w:adjustRightInd/>
              <w:spacing w:line="240" w:lineRule="auto"/>
              <w:ind w:left="1048"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zh-CN" w:bidi="zh-CN"/>
              </w:rPr>
              <w:t>学习目标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trPr>
        <w:tc>
          <w:tcPr>
            <w:tcW w:w="2056" w:type="pct"/>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Cs/>
                <w:sz w:val="21"/>
                <w:szCs w:val="21"/>
                <w:lang w:eastAsia="zh-CN"/>
              </w:rPr>
            </w:pPr>
            <w:r>
              <w:rPr>
                <w:rFonts w:ascii="Times New Roman" w:hAnsi="Times New Roman" w:cs="Times New Roman"/>
              </w:rPr>
              <w:t>结合实例，说明污染物跨境转移对环境安全的影响。</w:t>
            </w:r>
          </w:p>
        </w:tc>
        <w:tc>
          <w:tcPr>
            <w:tcW w:w="2943" w:type="pc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ascii="Times New Roman" w:hAnsi="Times New Roman" w:cs="Times New Roman"/>
              </w:rPr>
            </w:pPr>
            <w:r>
              <w:rPr>
                <w:rFonts w:hint="eastAsia" w:ascii="Times New Roman" w:hAnsi="Times New Roman" w:cs="Times New Roman"/>
                <w:lang w:val="en-US" w:eastAsia="zh-CN"/>
              </w:rPr>
              <w:t>1.</w:t>
            </w:r>
            <w:r>
              <w:rPr>
                <w:rFonts w:ascii="Times New Roman" w:hAnsi="Times New Roman" w:cs="Times New Roman"/>
              </w:rPr>
              <w:t>了解污染物跨境转移的概念和分类。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ascii="Times New Roman" w:hAnsi="Times New Roman" w:cs="Times New Roman"/>
              </w:rPr>
              <w:t>2.能够结合实例，说明污染物跨境转移对环境安全的影响，说出污染物跨境转移的原因，并提出相应防控措施。</w:t>
            </w:r>
          </w:p>
        </w:tc>
      </w:tr>
    </w:tbl>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sz w:val="21"/>
          <w:szCs w:val="21"/>
        </w:rPr>
      </w:pPr>
      <w:r>
        <w:rPr>
          <w:rFonts w:hint="eastAsia" w:ascii="宋体" w:hAnsi="宋体" w:eastAsia="宋体" w:cs="宋体"/>
          <w:b/>
          <w:sz w:val="21"/>
          <w:szCs w:val="21"/>
        </w:rPr>
        <w:t>【导读——读教材</w:t>
      </w:r>
      <w:r>
        <w:rPr>
          <w:rFonts w:hint="eastAsia" w:ascii="宋体" w:hAnsi="宋体" w:eastAsia="宋体" w:cs="宋体"/>
          <w:b/>
          <w:sz w:val="21"/>
          <w:szCs w:val="21"/>
          <w:lang w:eastAsia="zh-CN"/>
        </w:rPr>
        <w:t>，夯</w:t>
      </w:r>
      <w:r>
        <w:rPr>
          <w:rFonts w:hint="eastAsia" w:ascii="宋体" w:hAnsi="宋体" w:eastAsia="宋体" w:cs="宋体"/>
          <w:b/>
          <w:sz w:val="21"/>
          <w:szCs w:val="21"/>
        </w:rPr>
        <w:t xml:space="preserve">基础】 </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ind w:firstLine="210" w:firstLineChars="100"/>
        <w:jc w:val="left"/>
        <w:textAlignment w:val="auto"/>
        <w:rPr>
          <w:rFonts w:hint="eastAsia" w:ascii="宋体" w:hAnsi="宋体" w:eastAsia="宋体" w:cs="宋体"/>
          <w:b w:val="0"/>
          <w:bCs/>
          <w:sz w:val="21"/>
          <w:szCs w:val="21"/>
          <w:lang w:val="zh-CN" w:eastAsia="zh-CN" w:bidi="zh-CN"/>
        </w:rPr>
      </w:pPr>
      <w:r>
        <w:rPr>
          <w:rFonts w:hint="eastAsia" w:ascii="宋体" w:hAnsi="宋体" w:eastAsia="宋体" w:cs="宋体"/>
          <w:b w:val="0"/>
          <w:bCs/>
          <w:sz w:val="21"/>
          <w:szCs w:val="21"/>
          <w:lang w:eastAsia="zh-CN"/>
        </w:rPr>
        <w:t>阅读选择性必修</w:t>
      </w:r>
      <w:r>
        <w:rPr>
          <w:rFonts w:hint="eastAsia" w:ascii="宋体" w:hAnsi="宋体" w:eastAsia="宋体" w:cs="宋体"/>
          <w:b w:val="0"/>
          <w:bCs/>
          <w:sz w:val="21"/>
          <w:szCs w:val="21"/>
          <w:lang w:val="en-US" w:eastAsia="zh-CN"/>
        </w:rPr>
        <w:t>三</w:t>
      </w:r>
      <w:r>
        <w:rPr>
          <w:rFonts w:hint="eastAsia" w:ascii="宋体" w:hAnsi="宋体" w:eastAsia="宋体" w:cs="宋体"/>
          <w:b w:val="0"/>
          <w:bCs/>
          <w:sz w:val="21"/>
          <w:szCs w:val="21"/>
          <w:lang w:eastAsia="zh-CN"/>
        </w:rPr>
        <w:t>教材第</w:t>
      </w:r>
      <w:r>
        <w:rPr>
          <w:rFonts w:hint="eastAsia" w:ascii="宋体" w:hAnsi="宋体" w:eastAsia="宋体" w:cs="宋体"/>
          <w:b w:val="0"/>
          <w:bCs/>
          <w:sz w:val="21"/>
          <w:szCs w:val="21"/>
          <w:lang w:val="en-US" w:eastAsia="zh-CN"/>
        </w:rPr>
        <w:t>77</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84</w:t>
      </w:r>
      <w:r>
        <w:rPr>
          <w:rFonts w:hint="eastAsia" w:ascii="宋体" w:hAnsi="宋体" w:eastAsia="宋体" w:cs="宋体"/>
          <w:b w:val="0"/>
          <w:bCs/>
          <w:sz w:val="21"/>
          <w:szCs w:val="21"/>
          <w:lang w:eastAsia="zh-CN"/>
        </w:rPr>
        <w:t>页</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【导学</w:t>
      </w:r>
      <w:r>
        <w:rPr>
          <w:rFonts w:hint="eastAsia" w:ascii="宋体" w:hAnsi="宋体" w:eastAsia="宋体" w:cs="宋体"/>
          <w:b/>
          <w:sz w:val="21"/>
          <w:szCs w:val="21"/>
        </w:rPr>
        <w:t>——</w:t>
      </w:r>
      <w:r>
        <w:rPr>
          <w:rFonts w:hint="eastAsia" w:ascii="宋体" w:hAnsi="宋体" w:eastAsia="宋体" w:cs="宋体"/>
          <w:b/>
          <w:bCs/>
          <w:sz w:val="21"/>
          <w:szCs w:val="21"/>
          <w:lang w:val="zh-CN" w:bidi="zh-CN"/>
        </w:rPr>
        <w:t>培素养，引价值】</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一、污染物的跨境转移</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1．污染物</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(1)概念：是指进入环境后使环境</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组成发生变化，直接或者间接危害人类</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和生存的物质。</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(2)来源：主要是在人类</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和生活活动中产生的，也有自然界释放的。</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(3)特点：具有</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性。</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2．污染物的跨境转移</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(1)概念：污染物从一国的管辖地区</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至另一国或者不属于任何国家管辖的地区。</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(2)形式</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①在</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和</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等自然力的作用下，使一国发生的污染扩散到邻国或周边地区；</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②一些发达国家或地区通过</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，把一些可利用的污染物作为商品输出到远离所在国或地区的欠发达国家或地区。</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二、污染物跨境转移对环境安全的影响</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1．形式</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(1)基于自然因素发生的污染物跨境转移</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anchor distT="0" distB="0" distL="114300" distR="114300" simplePos="0" relativeHeight="251662336" behindDoc="0" locked="0" layoutInCell="1" allowOverlap="1">
            <wp:simplePos x="0" y="0"/>
            <wp:positionH relativeFrom="column">
              <wp:posOffset>3433445</wp:posOffset>
            </wp:positionH>
            <wp:positionV relativeFrom="paragraph">
              <wp:posOffset>232410</wp:posOffset>
            </wp:positionV>
            <wp:extent cx="2196465" cy="1069340"/>
            <wp:effectExtent l="0" t="0" r="5715" b="1016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r:link="rId6"/>
                    <a:stretch>
                      <a:fillRect/>
                    </a:stretch>
                  </pic:blipFill>
                  <pic:spPr>
                    <a:xfrm>
                      <a:off x="0" y="0"/>
                      <a:ext cx="2196465" cy="1069340"/>
                    </a:xfrm>
                    <a:prstGeom prst="rect">
                      <a:avLst/>
                    </a:prstGeom>
                    <a:noFill/>
                    <a:ln>
                      <a:noFill/>
                    </a:ln>
                  </pic:spPr>
                </pic:pic>
              </a:graphicData>
            </a:graphic>
          </wp:anchor>
        </w:drawing>
      </w:r>
      <w:r>
        <w:rPr>
          <w:rFonts w:hint="eastAsia" w:ascii="宋体" w:hAnsi="宋体" w:eastAsia="宋体" w:cs="宋体"/>
          <w:kern w:val="2"/>
          <w:sz w:val="21"/>
          <w:szCs w:val="21"/>
          <w:lang w:val="en-US" w:eastAsia="zh-CN" w:bidi="ar-SA"/>
        </w:rPr>
        <w:t>随空气和水自然流动，</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明确的目的地，临近或不临近的国家和地区都有可能受害，从而使污染物的</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扩大。</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(2)基于人为因素发生的污染物跨境转移</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①主要方向：以发达国家向</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国家出口污染物为主。</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②产生的原因（右图）</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2．影响：使污染向</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蔓延和扩散，并形成新的污染危害，危及其他国家或地区乃至全球的环境安全。</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三、污染物跨境转移的防控</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1．国际合作</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1989年3月22日，世界上第一个旨在控制有害废弃物</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的国际公约——《</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》获得通过，这标志着针对污染物跨境转移及其处置的国际合作迈入了</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阶段。</w:t>
      </w:r>
    </w:p>
    <w:p>
      <w:pPr>
        <w:widowControl w:val="0"/>
        <w:tabs>
          <w:tab w:val="left" w:pos="426"/>
          <w:tab w:val="left" w:pos="3402"/>
        </w:tabs>
        <w:snapToGrid w:val="0"/>
        <w:spacing w:line="240" w:lineRule="auto"/>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2．我国的措施及成效</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7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0" w:type="dxa"/>
            <w:shd w:val="clear" w:color="auto" w:fill="auto"/>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领域</w:t>
            </w:r>
          </w:p>
        </w:tc>
        <w:tc>
          <w:tcPr>
            <w:tcW w:w="7578" w:type="dxa"/>
            <w:shd w:val="clear" w:color="auto" w:fill="auto"/>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举措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0" w:type="dxa"/>
            <w:shd w:val="clear" w:color="auto" w:fill="auto"/>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国际贸易</w:t>
            </w:r>
          </w:p>
        </w:tc>
        <w:tc>
          <w:tcPr>
            <w:tcW w:w="7578" w:type="dxa"/>
            <w:shd w:val="clear" w:color="auto" w:fill="auto"/>
            <w:vAlign w:val="center"/>
          </w:tcPr>
          <w:p>
            <w:pPr>
              <w:widowControl w:val="0"/>
              <w:tabs>
                <w:tab w:val="left" w:pos="426"/>
                <w:tab w:val="left" w:pos="3402"/>
              </w:tabs>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充分利用国际公约与污染物出口国或地区进行交涉，更好地维护国家的环境权益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0" w:type="dxa"/>
            <w:shd w:val="clear" w:color="auto" w:fill="auto"/>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法制</w:t>
            </w:r>
          </w:p>
        </w:tc>
        <w:tc>
          <w:tcPr>
            <w:tcW w:w="7578" w:type="dxa"/>
            <w:shd w:val="clear" w:color="auto" w:fill="auto"/>
            <w:vAlign w:val="center"/>
          </w:tcPr>
          <w:p>
            <w:pPr>
              <w:widowControl w:val="0"/>
              <w:tabs>
                <w:tab w:val="left" w:pos="426"/>
                <w:tab w:val="left" w:pos="3402"/>
              </w:tabs>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逐步健全法规体系，加强对污染物跨境转移的控制，认真对待我国外资准入中的污染转移，</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洋垃圾入境，切实维护国家生态安全和人民群众的身体健康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0" w:type="dxa"/>
            <w:shd w:val="clear" w:color="auto" w:fill="auto"/>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资源利用</w:t>
            </w:r>
          </w:p>
        </w:tc>
        <w:tc>
          <w:tcPr>
            <w:tcW w:w="7578" w:type="dxa"/>
            <w:shd w:val="clear" w:color="auto" w:fill="auto"/>
            <w:vAlign w:val="center"/>
          </w:tcPr>
          <w:p>
            <w:pPr>
              <w:widowControl w:val="0"/>
              <w:tabs>
                <w:tab w:val="left" w:pos="426"/>
                <w:tab w:val="left" w:pos="3402"/>
              </w:tabs>
              <w:snapToGrid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强化资源</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利用，全面提升国内固体废弃物</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、资源化利用水平，逐步补齐国内资源缺口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0" w:type="dxa"/>
            <w:shd w:val="clear" w:color="auto" w:fill="auto"/>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公众参与</w:t>
            </w:r>
          </w:p>
        </w:tc>
        <w:tc>
          <w:tcPr>
            <w:tcW w:w="7578" w:type="dxa"/>
            <w:shd w:val="clear" w:color="auto" w:fill="auto"/>
            <w:vAlign w:val="center"/>
          </w:tcPr>
          <w:p>
            <w:pPr>
              <w:widowControl w:val="0"/>
              <w:tabs>
                <w:tab w:val="left" w:pos="426"/>
                <w:tab w:val="left" w:pos="3402"/>
              </w:tabs>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积极引导公众参与，努力营造全社会共同支持的良好氛围</w:t>
            </w:r>
          </w:p>
        </w:tc>
      </w:tr>
    </w:tbl>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1312" behindDoc="0" locked="0" layoutInCell="1" allowOverlap="1">
            <wp:simplePos x="0" y="0"/>
            <wp:positionH relativeFrom="column">
              <wp:posOffset>3663950</wp:posOffset>
            </wp:positionH>
            <wp:positionV relativeFrom="paragraph">
              <wp:posOffset>64770</wp:posOffset>
            </wp:positionV>
            <wp:extent cx="1790700" cy="2306955"/>
            <wp:effectExtent l="0" t="0" r="1270" b="317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r:link="rId8"/>
                    <a:stretch>
                      <a:fillRect/>
                    </a:stretch>
                  </pic:blipFill>
                  <pic:spPr>
                    <a:xfrm>
                      <a:off x="0" y="0"/>
                      <a:ext cx="1790700" cy="2306955"/>
                    </a:xfrm>
                    <a:prstGeom prst="rect">
                      <a:avLst/>
                    </a:prstGeom>
                    <a:noFill/>
                    <a:ln>
                      <a:noFill/>
                    </a:ln>
                  </pic:spPr>
                </pic:pic>
              </a:graphicData>
            </a:graphic>
          </wp:anchor>
        </w:drawing>
      </w:r>
      <w:r>
        <w:rPr>
          <w:rFonts w:hint="eastAsia" w:ascii="宋体" w:hAnsi="宋体" w:eastAsia="宋体" w:cs="宋体"/>
          <w:sz w:val="21"/>
          <w:szCs w:val="21"/>
        </w:rPr>
        <w:t>探究点</w:t>
      </w:r>
      <w:r>
        <w:rPr>
          <w:rFonts w:hint="eastAsia" w:ascii="宋体" w:hAnsi="宋体" w:eastAsia="宋体" w:cs="宋体"/>
          <w:sz w:val="21"/>
          <w:szCs w:val="21"/>
          <w:lang w:val="en-US" w:eastAsia="zh-CN"/>
        </w:rPr>
        <w:t>一</w:t>
      </w:r>
      <w:r>
        <w:rPr>
          <w:rFonts w:hint="eastAsia" w:ascii="宋体" w:hAnsi="宋体" w:eastAsia="宋体" w:cs="宋体"/>
          <w:sz w:val="21"/>
          <w:szCs w:val="21"/>
        </w:rPr>
        <w:t>　污染物的跨境转移与环境安全</w:t>
      </w: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ab/>
      </w:r>
      <w:r>
        <w:rPr>
          <w:rFonts w:hint="eastAsia" w:ascii="宋体" w:hAnsi="宋体" w:eastAsia="宋体" w:cs="宋体"/>
          <w:sz w:val="21"/>
          <w:szCs w:val="21"/>
        </w:rPr>
        <w:t>莱茵河是欧洲最大的河流之一，流经了九个国家。莱茵河既为上千万人提供饮用水源和工农业用水，也接纳着沿岸排放的生活和工农业污水，同时承担重要的航运任务。20世纪莱茵河不断受到沿岸各国的污染，曾一度成为“欧洲下水道”，沿岸各国的矛盾不断激化。1950年7月，瑞士、法国、卢森堡、德国和荷兰共同成立了保护莱茵河国际委员会，委员会主席由各国轮值，秘书长则固定是荷兰人。经不断治理，今天莱茵河水质干净清澈，可直接饮用，成为世界上管理得最好的一条河流。下图为莱茵河地理位置示意图。</w:t>
      </w:r>
    </w:p>
    <w:p>
      <w:pPr>
        <w:pStyle w:val="2"/>
        <w:numPr>
          <w:ilvl w:val="0"/>
          <w:numId w:val="1"/>
        </w:numPr>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[区域认知]说明莱茵河水污染治理难度大的原因。</w:t>
      </w:r>
    </w:p>
    <w:p>
      <w:pPr>
        <w:pStyle w:val="2"/>
        <w:numPr>
          <w:ilvl w:val="0"/>
          <w:numId w:val="1"/>
        </w:numPr>
        <w:tabs>
          <w:tab w:val="left" w:pos="426"/>
          <w:tab w:val="left" w:pos="3402"/>
        </w:tabs>
        <w:snapToGrid w:val="0"/>
        <w:spacing w:line="240" w:lineRule="auto"/>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[综合思维]指出污染物沿莱茵河跨境转移的危害。</w:t>
      </w:r>
    </w:p>
    <w:p>
      <w:pPr>
        <w:pStyle w:val="2"/>
        <w:tabs>
          <w:tab w:val="left" w:pos="426"/>
          <w:tab w:val="left" w:pos="3402"/>
        </w:tabs>
        <w:snapToGrid w:val="0"/>
        <w:spacing w:line="240" w:lineRule="auto"/>
        <w:rPr>
          <w:rFonts w:hint="eastAsia" w:ascii="宋体" w:hAnsi="宋体" w:eastAsia="宋体" w:cs="宋体"/>
          <w:b/>
          <w:bCs/>
          <w:color w:val="auto"/>
          <w:sz w:val="21"/>
          <w:szCs w:val="21"/>
          <w:lang w:val="zh-CN" w:bidi="zh-CN"/>
        </w:rPr>
      </w:pPr>
      <w:r>
        <w:rPr>
          <w:rFonts w:hint="eastAsia" w:ascii="宋体" w:hAnsi="宋体" w:eastAsia="宋体" w:cs="宋体"/>
          <w:sz w:val="21"/>
          <w:szCs w:val="21"/>
        </w:rPr>
        <w:t>3．[人地协调观]结合材料和所学知识，你认为沿岸各国该如何解决莱茵河污染物跨境转移的问题？</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2021年3月29日，中国海关系统查扣的数量最大的一批走私入境固体废物——49.8万吨硫铁矿渣驶离天津港，“洋垃圾”全部被退运出境。据此完成1～2题。</w:t>
      </w: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1．出口有害废弃物的行为，违反的国际公约是(　　)</w:t>
      </w:r>
    </w:p>
    <w:p>
      <w:pPr>
        <w:pStyle w:val="2"/>
        <w:tabs>
          <w:tab w:val="left" w:pos="426"/>
          <w:tab w:val="left" w:pos="3402"/>
        </w:tabs>
        <w:snapToGrid w:val="0"/>
        <w:spacing w:line="240" w:lineRule="auto"/>
        <w:ind w:firstLine="210" w:firstLineChars="100"/>
        <w:rPr>
          <w:rFonts w:hint="eastAsia" w:hAnsi="宋体" w:eastAsia="宋体" w:cs="宋体"/>
          <w:sz w:val="21"/>
          <w:szCs w:val="21"/>
          <w:lang w:val="en-US" w:eastAsia="zh-CN"/>
        </w:rPr>
      </w:pPr>
      <w:r>
        <w:rPr>
          <w:rFonts w:hint="eastAsia" w:ascii="宋体" w:hAnsi="宋体" w:eastAsia="宋体" w:cs="宋体"/>
          <w:sz w:val="21"/>
          <w:szCs w:val="21"/>
        </w:rPr>
        <w:t>A．《巴黎协定》</w:t>
      </w:r>
      <w:r>
        <w:rPr>
          <w:rFonts w:hint="eastAsia" w:hAnsi="宋体" w:eastAsia="宋体" w:cs="宋体"/>
          <w:sz w:val="21"/>
          <w:szCs w:val="21"/>
          <w:lang w:val="en-US" w:eastAsia="zh-CN"/>
        </w:rPr>
        <w:t xml:space="preserve">                  </w:t>
      </w:r>
      <w:r>
        <w:rPr>
          <w:rFonts w:hint="eastAsia" w:ascii="宋体" w:hAnsi="宋体" w:eastAsia="宋体" w:cs="宋体"/>
          <w:sz w:val="21"/>
          <w:szCs w:val="21"/>
        </w:rPr>
        <w:t>B．《巴塞尔公约》</w:t>
      </w:r>
      <w:r>
        <w:rPr>
          <w:rFonts w:hint="eastAsia" w:hAnsi="宋体" w:eastAsia="宋体" w:cs="宋体"/>
          <w:sz w:val="21"/>
          <w:szCs w:val="21"/>
          <w:lang w:val="en-US" w:eastAsia="zh-CN"/>
        </w:rPr>
        <w:t xml:space="preserve">    </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C．《京都议定书》</w:t>
      </w:r>
      <w:r>
        <w:rPr>
          <w:rFonts w:hint="eastAsia" w:hAnsi="宋体" w:eastAsia="宋体" w:cs="宋体"/>
          <w:sz w:val="21"/>
          <w:szCs w:val="21"/>
          <w:lang w:val="en-US" w:eastAsia="zh-CN"/>
        </w:rPr>
        <w:t xml:space="preserve">                </w:t>
      </w:r>
      <w:r>
        <w:rPr>
          <w:rFonts w:hint="eastAsia" w:ascii="宋体" w:hAnsi="宋体" w:eastAsia="宋体" w:cs="宋体"/>
          <w:sz w:val="21"/>
          <w:szCs w:val="21"/>
        </w:rPr>
        <w:t>D．《中华人民共和国环境保护法》</w:t>
      </w: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2．该批“洋垃圾”被退运出境的主要原因是(　　)</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A．属于我国禁止进口的固体废弃物B．严重污染了我国的大气、水和土壤环境</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C．存在大量细菌和病毒</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D．价格偏高导致相关企业效益低下</w:t>
      </w:r>
    </w:p>
    <w:p>
      <w:pPr>
        <w:tabs>
          <w:tab w:val="left" w:pos="750"/>
        </w:tabs>
        <w:spacing w:line="240" w:lineRule="auto"/>
        <w:rPr>
          <w:rFonts w:hint="eastAsia" w:ascii="宋体" w:hAnsi="宋体" w:eastAsia="宋体" w:cs="宋体"/>
          <w:sz w:val="21"/>
          <w:szCs w:val="21"/>
        </w:rPr>
      </w:pPr>
      <w:r>
        <w:rPr>
          <w:rFonts w:hint="eastAsia" w:ascii="宋体" w:hAnsi="宋体" w:eastAsia="宋体" w:cs="宋体"/>
          <w:b/>
          <w:bCs/>
          <w:sz w:val="21"/>
          <w:szCs w:val="21"/>
          <w:lang w:val="zh-CN" w:bidi="zh-CN"/>
        </w:rPr>
        <w:t>【课堂检测】</w:t>
      </w:r>
    </w:p>
    <w:p>
      <w:pPr>
        <w:pStyle w:val="2"/>
        <w:tabs>
          <w:tab w:val="left" w:pos="426"/>
          <w:tab w:val="left" w:pos="3402"/>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几内亚比绍政府曾经和美国及西欧几个国家的废物公司秘密签订一项合同，合同规定几内亚比绍政府在今后5年内要接受该财团15吨有毒废物，获得6亿美元现钞，后因舆论压力而取消。</w:t>
      </w: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3．污染物转移的实质是(　　)</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A．经济发达程度差异问题在国际环境关系中的体现B．资源短缺</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C．不合理利用自然资源</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D．任意排放废弃物</w:t>
      </w: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4．下列有关污染物转移的叙述，正确的是(　　)</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A．不会带来危害，因几内亚比绍属热带气候，环境自净能力强</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B．几内亚比绍地广人稀，少量的污染不会引起环境问题</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C．获得巨额的经济赔偿促进几内亚比绍经济的长期发展</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D．倾倒的污染物会给几内亚比绍带来环境污染</w:t>
      </w:r>
    </w:p>
    <w:p>
      <w:pPr>
        <w:pStyle w:val="2"/>
        <w:tabs>
          <w:tab w:val="left" w:pos="3402"/>
        </w:tabs>
        <w:snapToGrid w:val="0"/>
        <w:spacing w:line="240" w:lineRule="auto"/>
        <w:rPr>
          <w:rFonts w:hint="eastAsia" w:ascii="宋体" w:hAnsi="宋体" w:eastAsia="宋体" w:cs="宋体"/>
          <w:sz w:val="21"/>
          <w:szCs w:val="21"/>
        </w:rPr>
      </w:pPr>
    </w:p>
    <w:p>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【导悟——拓思维，建体系】</w:t>
      </w:r>
    </w:p>
    <w:p>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660288" behindDoc="0" locked="0" layoutInCell="1" allowOverlap="1">
                <wp:simplePos x="0" y="0"/>
                <wp:positionH relativeFrom="column">
                  <wp:posOffset>29845</wp:posOffset>
                </wp:positionH>
                <wp:positionV relativeFrom="paragraph">
                  <wp:posOffset>11430</wp:posOffset>
                </wp:positionV>
                <wp:extent cx="5396865" cy="626110"/>
                <wp:effectExtent l="4445" t="4445" r="6985" b="6350"/>
                <wp:wrapNone/>
                <wp:docPr id="33" name="文本框 33"/>
                <wp:cNvGraphicFramePr/>
                <a:graphic xmlns:a="http://schemas.openxmlformats.org/drawingml/2006/main">
                  <a:graphicData uri="http://schemas.microsoft.com/office/word/2010/wordprocessingShape">
                    <wps:wsp>
                      <wps:cNvSpPr txBox="1"/>
                      <wps:spPr>
                        <a:xfrm>
                          <a:off x="0" y="0"/>
                          <a:ext cx="5396865" cy="6261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0.9pt;height:49.3pt;width:424.95pt;z-index:251660288;mso-width-relative:page;mso-height-relative:page;" fillcolor="#FFFFFF [3201]" filled="t" stroked="t" coordsize="21600,21600" o:gfxdata="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U9a/9IAAAAH&#10;AQAADwAAAAAAAAABACAAAAAiAAAAZHJzL2Rvd25yZXYueG1sUEsBAhQAFAAAAAgAh07iQKz1pqBb&#10;AgAAuQQAAA4AAAAAAAAAAQAgAAAAIQEAAGRycy9lMm9Eb2MueG1sUEsFBgAAAAAGAAYAWQEAAO4F&#10;AAAAAA==&#10;">
                <v:fill on="t" focussize="0,0"/>
                <v:stroke weight="0.5pt" color="#000000 [3204]" joinstyle="round"/>
                <v:imagedata o:title=""/>
                <o:lock v:ext="edit" aspectratio="f"/>
                <v:textbox>
                  <w:txbxContent>
                    <w:p/>
                  </w:txbxContent>
                </v:textbox>
              </v:shape>
            </w:pict>
          </mc:Fallback>
        </mc:AlternateContent>
      </w:r>
    </w:p>
    <w:p>
      <w:pPr>
        <w:keepNext w:val="0"/>
        <w:keepLines w:val="0"/>
        <w:pageBreakBefore w:val="0"/>
        <w:kinsoku/>
        <w:wordWrap/>
        <w:overflowPunct/>
        <w:topLinePunct w:val="0"/>
        <w:autoSpaceDE w:val="0"/>
        <w:autoSpaceDN w:val="0"/>
        <w:bidi w:val="0"/>
        <w:adjustRightInd/>
        <w:jc w:val="both"/>
        <w:textAlignment w:val="auto"/>
        <w:rPr>
          <w:rFonts w:hint="eastAsia" w:ascii="宋体" w:hAnsi="宋体"/>
          <w:b/>
          <w:color w:val="FF0000"/>
          <w:szCs w:val="21"/>
        </w:rPr>
      </w:pPr>
    </w:p>
    <w:p>
      <w:pPr>
        <w:rPr>
          <w:rFonts w:hint="eastAsia" w:ascii="宋体" w:hAnsi="宋体"/>
          <w:b/>
          <w:color w:val="FF0000"/>
          <w:szCs w:val="21"/>
        </w:rPr>
      </w:pPr>
      <w:r>
        <w:rPr>
          <w:rFonts w:hint="eastAsia" w:ascii="宋体" w:hAnsi="宋体"/>
          <w:b/>
          <w:color w:val="FF0000"/>
          <w:szCs w:val="21"/>
        </w:rPr>
        <w:br w:type="page"/>
      </w: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二</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sz w:val="24"/>
          <w:szCs w:val="24"/>
          <w:lang w:val="en-US" w:eastAsia="zh-CN"/>
        </w:rPr>
      </w:pPr>
      <w:r>
        <w:rPr>
          <w:rFonts w:hint="eastAsia" w:ascii="黑体" w:hAnsi="黑体" w:eastAsia="黑体" w:cs="黑体"/>
          <w:b/>
          <w:kern w:val="0"/>
          <w:sz w:val="28"/>
          <w:szCs w:val="28"/>
          <w:lang w:val="en-US" w:bidi="zh-CN"/>
        </w:rPr>
        <w:t>2.3污染物跨境转移与环境安全</w:t>
      </w:r>
      <w:r>
        <w:rPr>
          <w:rFonts w:hint="eastAsia" w:ascii="楷体" w:hAnsi="楷体" w:eastAsia="楷体" w:cs="楷体"/>
          <w:bCs/>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5</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9</w:t>
      </w:r>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hAnsi="宋体" w:eastAsia="宋体" w:cs="宋体"/>
          <w:b/>
          <w:bCs/>
          <w:sz w:val="21"/>
          <w:szCs w:val="21"/>
          <w:lang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基础过关】</w:t>
      </w:r>
    </w:p>
    <w:p>
      <w:pPr>
        <w:pStyle w:val="2"/>
        <w:tabs>
          <w:tab w:val="left" w:pos="426"/>
          <w:tab w:val="left" w:pos="3402"/>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自2021年1月1日起，我国禁止以任何方式进口固体废物。此前长达20多年，中国都是世界上最大的废弃物进口国。中国洋垃圾禁令正式生效后，世界固体垃圾的进出口格局发生了很大变化。据此回答1～3题。</w:t>
      </w: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1．下列有关中国此前允许进口洋垃圾的原因中，说法错误的是(　　)</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A．原材料缺乏  B．可节约成本</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C．劳动力丰富廉价  </w:t>
      </w:r>
      <w:r>
        <w:rPr>
          <w:rFonts w:hint="eastAsia" w:ascii="宋体" w:hAnsi="宋体" w:eastAsia="宋体" w:cs="宋体"/>
          <w:sz w:val="21"/>
          <w:szCs w:val="21"/>
        </w:rPr>
        <w:tab/>
      </w:r>
      <w:r>
        <w:rPr>
          <w:rFonts w:hint="eastAsia" w:ascii="宋体" w:hAnsi="宋体" w:eastAsia="宋体" w:cs="宋体"/>
          <w:sz w:val="21"/>
          <w:szCs w:val="21"/>
        </w:rPr>
        <w:t>D．环境承载力大</w:t>
      </w: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2．中国禁止洋垃圾进口后，下列行业压力最小的是(　　)</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A．钢铁行业  </w:t>
      </w:r>
      <w:r>
        <w:rPr>
          <w:rFonts w:hint="eastAsia" w:hAnsi="宋体" w:eastAsia="宋体" w:cs="宋体"/>
          <w:sz w:val="21"/>
          <w:szCs w:val="21"/>
          <w:lang w:val="en-US" w:eastAsia="zh-CN"/>
        </w:rPr>
        <w:t xml:space="preserve">  </w:t>
      </w:r>
      <w:r>
        <w:rPr>
          <w:rFonts w:hint="eastAsia" w:ascii="宋体" w:hAnsi="宋体" w:eastAsia="宋体" w:cs="宋体"/>
          <w:sz w:val="21"/>
          <w:szCs w:val="21"/>
        </w:rPr>
        <w:t>B．塑料行业</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C．报刊杂志  </w:t>
      </w:r>
      <w:r>
        <w:rPr>
          <w:rFonts w:hint="eastAsia" w:hAnsi="宋体" w:eastAsia="宋体" w:cs="宋体"/>
          <w:sz w:val="21"/>
          <w:szCs w:val="21"/>
          <w:lang w:val="en-US" w:eastAsia="zh-CN"/>
        </w:rPr>
        <w:t xml:space="preserve">         </w:t>
      </w:r>
      <w:r>
        <w:rPr>
          <w:rFonts w:hint="eastAsia" w:ascii="宋体" w:hAnsi="宋体" w:eastAsia="宋体" w:cs="宋体"/>
          <w:sz w:val="21"/>
          <w:szCs w:val="21"/>
        </w:rPr>
        <w:tab/>
      </w:r>
      <w:r>
        <w:rPr>
          <w:rFonts w:hint="eastAsia" w:ascii="宋体" w:hAnsi="宋体" w:eastAsia="宋体" w:cs="宋体"/>
          <w:sz w:val="21"/>
          <w:szCs w:val="21"/>
        </w:rPr>
        <w:t>D．家具行业</w:t>
      </w: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3．中国禁止洋垃圾进口后，下列哪个国家或地区可能成为新的垃圾倾销地(　　)</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A．蒙古  </w:t>
      </w:r>
      <w:r>
        <w:rPr>
          <w:rFonts w:hint="eastAsia" w:hAnsi="宋体" w:eastAsia="宋体" w:cs="宋体"/>
          <w:sz w:val="21"/>
          <w:szCs w:val="21"/>
          <w:lang w:val="en-US" w:eastAsia="zh-CN"/>
        </w:rPr>
        <w:t xml:space="preserve">      </w:t>
      </w:r>
      <w:r>
        <w:rPr>
          <w:rFonts w:hint="eastAsia" w:ascii="宋体" w:hAnsi="宋体" w:eastAsia="宋体" w:cs="宋体"/>
          <w:sz w:val="21"/>
          <w:szCs w:val="21"/>
        </w:rPr>
        <w:t>B．新西兰</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C．泰国  </w:t>
      </w:r>
      <w:r>
        <w:rPr>
          <w:rFonts w:hint="eastAsia" w:ascii="宋体" w:hAnsi="宋体" w:eastAsia="宋体" w:cs="宋体"/>
          <w:sz w:val="21"/>
          <w:szCs w:val="21"/>
        </w:rPr>
        <w:tab/>
      </w:r>
      <w:r>
        <w:rPr>
          <w:rFonts w:hint="eastAsia" w:hAnsi="宋体" w:eastAsia="宋体" w:cs="宋体"/>
          <w:sz w:val="21"/>
          <w:szCs w:val="21"/>
          <w:lang w:val="en-US" w:eastAsia="zh-CN"/>
        </w:rPr>
        <w:t xml:space="preserve">            </w:t>
      </w:r>
      <w:r>
        <w:rPr>
          <w:rFonts w:hint="eastAsia" w:ascii="宋体" w:hAnsi="宋体" w:eastAsia="宋体" w:cs="宋体"/>
          <w:sz w:val="21"/>
          <w:szCs w:val="21"/>
        </w:rPr>
        <w:t>D．南极地区</w:t>
      </w:r>
    </w:p>
    <w:p>
      <w:pPr>
        <w:pStyle w:val="2"/>
        <w:tabs>
          <w:tab w:val="left" w:pos="426"/>
          <w:tab w:val="left" w:pos="3402"/>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在旧金山与夏威夷之间的广阔太平洋水域上，漂浮着一个巨大的“太平洋垃圾岛”，其面积大小与中欧相近。科学家们认为，人们随手丢弃的废旧塑料袋通过下水道进入海洋，不断运动的洋流将它们聚集在一起，最终形成了这座庞大的“垃圾岛”。这座“垃圾岛”一直在“茁壮成长”。自20世纪50年代以来，这座“岛屿”面积每10年就增长10倍。要彻底清除这些垃圾，可能要耗费数十亿美元的资金。据此完成4～6题。</w:t>
      </w: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4．形成“太平洋垃圾岛”的垃圾主要来自(　　)</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A．航行于海上的各类船只</w:t>
      </w:r>
      <w:r>
        <w:rPr>
          <w:rFonts w:hint="eastAsia" w:ascii="宋体" w:hAnsi="宋体" w:eastAsia="宋体" w:cs="宋体"/>
          <w:sz w:val="21"/>
          <w:szCs w:val="21"/>
          <w:lang w:val="en-US" w:eastAsia="zh-CN"/>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B．沿海陆地上的生产活动</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C．陆地上生活活动丢弃的垃圾</w:t>
      </w:r>
      <w:r>
        <w:rPr>
          <w:rFonts w:hint="eastAsia" w:ascii="宋体" w:hAnsi="宋体" w:eastAsia="宋体" w:cs="宋体"/>
          <w:sz w:val="21"/>
          <w:szCs w:val="21"/>
          <w:lang w:val="en-US" w:eastAsia="zh-CN"/>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rPr>
        <w:t>D．废弃船只上难以分解的塑料制品</w:t>
      </w: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5．促使垃圾在太平洋上聚集，形成“垃圾岛”的主要洋流可能是(　　)</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A．北太平洋暖流  B．加利福尼亚寒流</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C．阿拉斯加暖流  </w:t>
      </w:r>
      <w:r>
        <w:rPr>
          <w:rFonts w:hint="eastAsia" w:ascii="宋体" w:hAnsi="宋体" w:eastAsia="宋体" w:cs="宋体"/>
          <w:sz w:val="21"/>
          <w:szCs w:val="21"/>
        </w:rPr>
        <w:tab/>
      </w:r>
      <w:r>
        <w:rPr>
          <w:rFonts w:hint="eastAsia" w:ascii="宋体" w:hAnsi="宋体" w:eastAsia="宋体" w:cs="宋体"/>
          <w:sz w:val="21"/>
          <w:szCs w:val="21"/>
        </w:rPr>
        <w:t>D．北大西洋暖流</w:t>
      </w: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6．大洋上的“垃圾岛”给海洋环境带来的影响最有可能是(　　)</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A．海洋动物吞下塑料垃圾，危及其生命</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B．改变洋流流向，危害海洋环境</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C．严重阻碍海上船只航行</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D．增加海洋气象灾害的发生频率</w:t>
      </w:r>
    </w:p>
    <w:p>
      <w:pPr>
        <w:pStyle w:val="2"/>
        <w:tabs>
          <w:tab w:val="left" w:pos="426"/>
          <w:tab w:val="left" w:pos="3402"/>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研究结果发现，北极熊尤其是在欧洲北极圈地区活动的北极熊脂肪中含有大量的化学物质。尤其是一种叫PCB(多氯联苯)的化学物质对北极熊的危害最大，这种物质不容易降解，而且飘浮在空气和水中，极易被动物吸收积存在体内。据此完成7～8题。</w:t>
      </w: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7．北极熊脂肪中含有大量PCB主要是因为(　　)</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A．海洋污染  </w:t>
      </w:r>
      <w:r>
        <w:rPr>
          <w:rFonts w:hint="eastAsia" w:hAnsi="宋体" w:eastAsia="宋体" w:cs="宋体"/>
          <w:sz w:val="21"/>
          <w:szCs w:val="21"/>
          <w:lang w:val="en-US" w:eastAsia="zh-CN"/>
        </w:rPr>
        <w:t xml:space="preserve">   </w:t>
      </w:r>
      <w:r>
        <w:rPr>
          <w:rFonts w:hint="eastAsia" w:ascii="宋体" w:hAnsi="宋体" w:eastAsia="宋体" w:cs="宋体"/>
          <w:sz w:val="21"/>
          <w:szCs w:val="21"/>
        </w:rPr>
        <w:t>B．海平面上升</w:t>
      </w:r>
      <w:r>
        <w:rPr>
          <w:rFonts w:hint="eastAsia" w:ascii="宋体" w:hAnsi="宋体" w:eastAsia="宋体" w:cs="宋体"/>
          <w:sz w:val="21"/>
          <w:szCs w:val="21"/>
          <w:lang w:val="en-US" w:eastAsia="zh-CN"/>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C．海水富营养化  </w:t>
      </w:r>
      <w:r>
        <w:rPr>
          <w:rFonts w:hint="eastAsia" w:ascii="宋体" w:hAnsi="宋体" w:eastAsia="宋体" w:cs="宋体"/>
          <w:sz w:val="21"/>
          <w:szCs w:val="21"/>
        </w:rPr>
        <w:tab/>
      </w:r>
      <w:r>
        <w:rPr>
          <w:rFonts w:hint="eastAsia" w:ascii="宋体" w:hAnsi="宋体" w:eastAsia="宋体" w:cs="宋体"/>
          <w:sz w:val="21"/>
          <w:szCs w:val="21"/>
        </w:rPr>
        <w:t>D．过度捕捞</w:t>
      </w: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8．PCB主要来自(　　)</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A．工业生产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B．农业生产</w:t>
      </w:r>
      <w:r>
        <w:rPr>
          <w:rFonts w:hint="eastAsia" w:ascii="宋体" w:hAnsi="宋体" w:eastAsia="宋体" w:cs="宋体"/>
          <w:sz w:val="21"/>
          <w:szCs w:val="21"/>
          <w:lang w:val="en-US" w:eastAsia="zh-CN"/>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C．城市垃圾  </w:t>
      </w:r>
      <w:r>
        <w:rPr>
          <w:rFonts w:hint="eastAsia" w:ascii="宋体" w:hAnsi="宋体" w:eastAsia="宋体" w:cs="宋体"/>
          <w:sz w:val="21"/>
          <w:szCs w:val="21"/>
        </w:rPr>
        <w:tab/>
      </w:r>
      <w:r>
        <w:rPr>
          <w:rFonts w:hint="eastAsia" w:hAnsi="宋体" w:eastAsia="宋体" w:cs="宋体"/>
          <w:sz w:val="21"/>
          <w:szCs w:val="21"/>
          <w:lang w:val="en-US" w:eastAsia="zh-CN"/>
        </w:rPr>
        <w:t xml:space="preserve">    </w:t>
      </w:r>
      <w:r>
        <w:rPr>
          <w:rFonts w:hint="eastAsia" w:ascii="宋体" w:hAnsi="宋体" w:eastAsia="宋体" w:cs="宋体"/>
          <w:sz w:val="21"/>
          <w:szCs w:val="21"/>
        </w:rPr>
        <w:t>D．冷却水</w:t>
      </w:r>
    </w:p>
    <w:p>
      <w:pPr>
        <w:pStyle w:val="2"/>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lang w:eastAsia="zh-CN"/>
        </w:rPr>
        <w:t>能力提升】</w:t>
      </w:r>
    </w:p>
    <w:p>
      <w:pPr>
        <w:pStyle w:val="2"/>
        <w:tabs>
          <w:tab w:val="left" w:pos="426"/>
          <w:tab w:val="left" w:pos="3402"/>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据加拿大测定，引起加拿大酸雨的污染物至少有60%是由美国产生，然后越界飘移过来的，受其影响，魁北克大部分地区的雨水比一般雨水酸度高7～21倍，每年酸雨形成的硫酸盐沉积物每公顷超过20千克。据此完成9～10题。</w:t>
      </w: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9．引起酸雨的污染物进入加拿大的主要途径是(　　)</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A．大气环流  </w:t>
      </w:r>
      <w:r>
        <w:rPr>
          <w:rFonts w:hint="eastAsia" w:hAnsi="宋体" w:eastAsia="宋体" w:cs="宋体"/>
          <w:sz w:val="21"/>
          <w:szCs w:val="21"/>
          <w:lang w:val="en-US" w:eastAsia="zh-CN"/>
        </w:rPr>
        <w:t xml:space="preserve">   </w:t>
      </w:r>
      <w:r>
        <w:rPr>
          <w:rFonts w:hint="eastAsia" w:ascii="宋体" w:hAnsi="宋体" w:eastAsia="宋体" w:cs="宋体"/>
          <w:sz w:val="21"/>
          <w:szCs w:val="21"/>
        </w:rPr>
        <w:t>B．河流径流</w:t>
      </w:r>
      <w:r>
        <w:rPr>
          <w:rFonts w:hint="eastAsia" w:ascii="宋体" w:hAnsi="宋体" w:eastAsia="宋体" w:cs="宋体"/>
          <w:sz w:val="21"/>
          <w:szCs w:val="21"/>
          <w:lang w:val="en-US" w:eastAsia="zh-CN"/>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C．正常贸易  </w:t>
      </w:r>
      <w:r>
        <w:rPr>
          <w:rFonts w:hint="eastAsia" w:ascii="宋体" w:hAnsi="宋体" w:eastAsia="宋体" w:cs="宋体"/>
          <w:sz w:val="21"/>
          <w:szCs w:val="21"/>
        </w:rPr>
        <w:tab/>
      </w:r>
      <w:r>
        <w:rPr>
          <w:rFonts w:hint="eastAsia" w:hAnsi="宋体" w:eastAsia="宋体" w:cs="宋体"/>
          <w:sz w:val="21"/>
          <w:szCs w:val="21"/>
          <w:lang w:val="en-US" w:eastAsia="zh-CN"/>
        </w:rPr>
        <w:t xml:space="preserve">    </w:t>
      </w:r>
      <w:r>
        <w:rPr>
          <w:rFonts w:hint="eastAsia" w:ascii="宋体" w:hAnsi="宋体" w:eastAsia="宋体" w:cs="宋体"/>
          <w:sz w:val="21"/>
          <w:szCs w:val="21"/>
        </w:rPr>
        <w:t>D．非法走私</w:t>
      </w: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10．加拿大出现酸雨频率最高的季节是(　　)</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 xml:space="preserve">A．春季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B．夏季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C．秋季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D．冬季</w:t>
      </w:r>
    </w:p>
    <w:p>
      <w:pPr>
        <w:pStyle w:val="2"/>
        <w:tabs>
          <w:tab w:val="left" w:pos="426"/>
          <w:tab w:val="left" w:pos="3402"/>
        </w:tabs>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kern w:val="2"/>
          <w:sz w:val="21"/>
          <w:szCs w:val="21"/>
          <w:lang w:val="en-US" w:eastAsia="zh-CN" w:bidi="ar-SA"/>
        </w:rPr>
        <w:t>（★）</w:t>
      </w:r>
      <w:r>
        <w:rPr>
          <w:rFonts w:hint="eastAsia" w:ascii="宋体" w:hAnsi="宋体" w:eastAsia="宋体" w:cs="宋体"/>
          <w:sz w:val="21"/>
          <w:szCs w:val="21"/>
        </w:rPr>
        <w:t>发生在日本本州岛东部海域(38.1°N,142.6°E)的9.0级大地震，导致了福岛第一核电站发生核泄漏事故，其产生的核辐射污染物质通过洋流、大气和生物链几种方式扩散，对太平洋及沿岸国家影响深远。下图是“福岛核电站泄漏辐射范围示意图”。据此完成11～13题。</w:t>
      </w:r>
    </w:p>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"E:\\2021\\同步\\地理\\地理 鲁教 选择性必修3（新教材）鲁苏云\\WORD\\S139.TIF"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"E:\\2021\\同步\\地理\\地理 鲁教 选择性必修3（新教材）鲁苏云\\WORD\\S139.TIF"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"E:\\2021\\同步\\地理\\地理 鲁教 选择性必修3（新教材）鲁苏云\\WORD\\S139.TIF"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"I:\\王真\\2021\\同步\\看PPT\\地理 选择性必修3 鲁 苏 云\\WORD\\S139.TIF"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2808605" cy="1562735"/>
            <wp:effectExtent l="0" t="0" r="8890"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r:link="rId10"/>
                    <a:stretch>
                      <a:fillRect/>
                    </a:stretch>
                  </pic:blipFill>
                  <pic:spPr>
                    <a:xfrm>
                      <a:off x="0" y="0"/>
                      <a:ext cx="2808605" cy="1562735"/>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11．日本核电比重较高的最主要原因是(　　)</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A．常规能源缺乏，核电技术成熟</w:t>
      </w:r>
      <w:r>
        <w:rPr>
          <w:rFonts w:hint="eastAsia" w:ascii="宋体" w:hAnsi="宋体" w:eastAsia="宋体" w:cs="宋体"/>
          <w:sz w:val="21"/>
          <w:szCs w:val="21"/>
          <w:lang w:val="en-US" w:eastAsia="zh-CN"/>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rPr>
        <w:t>B．靠近核燃料地，运费低</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C．核能是清洁能源，没有污染</w:t>
      </w:r>
      <w:r>
        <w:rPr>
          <w:rFonts w:hint="eastAsia" w:ascii="宋体" w:hAnsi="宋体" w:eastAsia="宋体" w:cs="宋体"/>
          <w:sz w:val="21"/>
          <w:szCs w:val="21"/>
          <w:lang w:val="en-US" w:eastAsia="zh-CN"/>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rPr>
        <w:t>D．经济发达，能源消耗量大</w:t>
      </w: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12．导致福岛核电站核泄漏辐射范围向东扩展的主要因素是(　　)</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A．地形、风向  B．洋流、海陆分布</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C．地形、海陆分布  </w:t>
      </w:r>
      <w:r>
        <w:rPr>
          <w:rFonts w:hint="eastAsia" w:ascii="宋体" w:hAnsi="宋体" w:eastAsia="宋体" w:cs="宋体"/>
          <w:sz w:val="21"/>
          <w:szCs w:val="21"/>
        </w:rPr>
        <w:tab/>
      </w:r>
      <w:r>
        <w:rPr>
          <w:rFonts w:hint="eastAsia" w:ascii="宋体" w:hAnsi="宋体" w:eastAsia="宋体" w:cs="宋体"/>
          <w:sz w:val="21"/>
          <w:szCs w:val="21"/>
        </w:rPr>
        <w:t>D．风向、洋流</w:t>
      </w: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13．随着核辐射物质的扩散，下列海域最可能发现畸形鱼的是(　　)</w:t>
      </w:r>
    </w:p>
    <w:p>
      <w:pPr>
        <w:pStyle w:val="2"/>
        <w:tabs>
          <w:tab w:val="left" w:pos="426"/>
          <w:tab w:val="left" w:pos="3402"/>
        </w:tabs>
        <w:snapToGrid w:val="0"/>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A．马来西亚西部海域  B．加拿大西部海域</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C．美国东部海域  </w:t>
      </w:r>
      <w:r>
        <w:rPr>
          <w:rFonts w:hint="eastAsia" w:ascii="宋体" w:hAnsi="宋体" w:eastAsia="宋体" w:cs="宋体"/>
          <w:sz w:val="21"/>
          <w:szCs w:val="21"/>
        </w:rPr>
        <w:tab/>
      </w:r>
      <w:r>
        <w:rPr>
          <w:rFonts w:hint="eastAsia" w:ascii="宋体" w:hAnsi="宋体" w:eastAsia="宋体" w:cs="宋体"/>
          <w:sz w:val="21"/>
          <w:szCs w:val="21"/>
        </w:rPr>
        <w:t>D．智利西部海域</w:t>
      </w: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14．酸雨是一种跨越国境的污染物，它可以随同大气转移到1 000 km以外甚至更远的地区。挪威矿物能源使用量不大，但其南部却是欧洲酸雨最严重的地区之一。读“欧洲造成酸雨的主要工业废气排放扩散图”，回答下列问题。(8分)</w:t>
      </w:r>
    </w:p>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"E:\\2021\\同步\\地理\\地理 鲁教 选择性必修3（新教材）鲁苏云\\WORD\\X140杨.TIF"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"E:\\2021\\同步\\地理\\地理 鲁教 选择性必修3（新教材）鲁苏云\\WORD\\X140杨.TIF"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"E:\\2021\\同步\\地理\\地理 鲁教 选择性必修3（新教材）鲁苏云\\WORD\\X140杨.TIF"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"I:\\王真\\2021\\同步\\看PPT\\地理 选择性必修3 鲁 苏 云\\WORD\\X140杨.TIF"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2210435" cy="1230630"/>
            <wp:effectExtent l="0" t="0" r="254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r:link="rId12"/>
                    <a:stretch>
                      <a:fillRect/>
                    </a:stretch>
                  </pic:blipFill>
                  <pic:spPr>
                    <a:xfrm>
                      <a:off x="0" y="0"/>
                      <a:ext cx="2210435" cy="1230630"/>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2"/>
        <w:numPr>
          <w:ilvl w:val="0"/>
          <w:numId w:val="2"/>
        </w:numPr>
        <w:tabs>
          <w:tab w:val="left" w:pos="426"/>
          <w:tab w:val="left" w:pos="3402"/>
          <w:tab w:val="clear" w:pos="31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分析挪威南部成为欧洲酸雨最严重地区之一的主要原因。(4分)</w:t>
      </w:r>
    </w:p>
    <w:p>
      <w:pPr>
        <w:pStyle w:val="2"/>
        <w:numPr>
          <w:ilvl w:val="0"/>
          <w:numId w:val="0"/>
        </w:numPr>
        <w:tabs>
          <w:tab w:val="left" w:pos="426"/>
          <w:tab w:val="left" w:pos="3402"/>
        </w:tabs>
        <w:snapToGrid w:val="0"/>
        <w:spacing w:line="240" w:lineRule="auto"/>
        <w:rPr>
          <w:rFonts w:hint="eastAsia" w:ascii="宋体" w:hAnsi="宋体" w:eastAsia="宋体" w:cs="宋体"/>
          <w:sz w:val="21"/>
          <w:szCs w:val="21"/>
        </w:rPr>
      </w:pPr>
    </w:p>
    <w:p>
      <w:pPr>
        <w:pStyle w:val="2"/>
        <w:numPr>
          <w:ilvl w:val="0"/>
          <w:numId w:val="0"/>
        </w:numPr>
        <w:tabs>
          <w:tab w:val="left" w:pos="426"/>
          <w:tab w:val="left" w:pos="3402"/>
        </w:tabs>
        <w:snapToGrid w:val="0"/>
        <w:spacing w:line="240" w:lineRule="auto"/>
        <w:rPr>
          <w:rFonts w:hint="eastAsia" w:ascii="宋体" w:hAnsi="宋体" w:eastAsia="宋体" w:cs="宋体"/>
          <w:sz w:val="21"/>
          <w:szCs w:val="21"/>
        </w:rPr>
      </w:pPr>
    </w:p>
    <w:p>
      <w:pPr>
        <w:pStyle w:val="2"/>
        <w:numPr>
          <w:ilvl w:val="0"/>
          <w:numId w:val="0"/>
        </w:numPr>
        <w:tabs>
          <w:tab w:val="left" w:pos="426"/>
          <w:tab w:val="left" w:pos="3402"/>
        </w:tabs>
        <w:snapToGrid w:val="0"/>
        <w:spacing w:line="240" w:lineRule="auto"/>
        <w:rPr>
          <w:rFonts w:hint="eastAsia" w:ascii="宋体" w:hAnsi="宋体" w:eastAsia="宋体" w:cs="宋体"/>
          <w:sz w:val="21"/>
          <w:szCs w:val="21"/>
        </w:rPr>
      </w:pPr>
    </w:p>
    <w:p>
      <w:pPr>
        <w:pStyle w:val="2"/>
        <w:numPr>
          <w:ilvl w:val="0"/>
          <w:numId w:val="0"/>
        </w:numPr>
        <w:tabs>
          <w:tab w:val="left" w:pos="426"/>
          <w:tab w:val="left" w:pos="3402"/>
        </w:tabs>
        <w:snapToGrid w:val="0"/>
        <w:spacing w:line="240" w:lineRule="auto"/>
        <w:rPr>
          <w:rFonts w:hint="eastAsia" w:ascii="宋体" w:hAnsi="宋体" w:eastAsia="宋体" w:cs="宋体"/>
          <w:sz w:val="21"/>
          <w:szCs w:val="21"/>
        </w:rPr>
      </w:pPr>
    </w:p>
    <w:p>
      <w:pPr>
        <w:pStyle w:val="2"/>
        <w:numPr>
          <w:ilvl w:val="0"/>
          <w:numId w:val="0"/>
        </w:numPr>
        <w:tabs>
          <w:tab w:val="left" w:pos="426"/>
          <w:tab w:val="left" w:pos="3402"/>
        </w:tabs>
        <w:snapToGrid w:val="0"/>
        <w:spacing w:line="240" w:lineRule="auto"/>
        <w:rPr>
          <w:rFonts w:hint="eastAsia" w:ascii="宋体" w:hAnsi="宋体" w:eastAsia="宋体" w:cs="宋体"/>
          <w:sz w:val="21"/>
          <w:szCs w:val="21"/>
        </w:rPr>
      </w:pPr>
    </w:p>
    <w:p>
      <w:pPr>
        <w:pStyle w:val="2"/>
        <w:numPr>
          <w:ilvl w:val="0"/>
          <w:numId w:val="2"/>
        </w:numPr>
        <w:tabs>
          <w:tab w:val="left" w:pos="426"/>
          <w:tab w:val="left" w:pos="3402"/>
          <w:tab w:val="clear" w:pos="312"/>
        </w:tabs>
        <w:snapToGrid w:val="0"/>
        <w:spacing w:line="240" w:lineRule="auto"/>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列举在欧洲有效控制酸雨的措施。(4分)</w:t>
      </w:r>
    </w:p>
    <w:p>
      <w:pPr>
        <w:pStyle w:val="2"/>
        <w:numPr>
          <w:ilvl w:val="0"/>
          <w:numId w:val="0"/>
        </w:numPr>
        <w:tabs>
          <w:tab w:val="left" w:pos="426"/>
          <w:tab w:val="left" w:pos="3402"/>
        </w:tabs>
        <w:snapToGrid w:val="0"/>
        <w:spacing w:line="240" w:lineRule="auto"/>
        <w:ind w:leftChars="0"/>
        <w:rPr>
          <w:rFonts w:hint="eastAsia" w:ascii="宋体" w:hAnsi="宋体" w:eastAsia="宋体" w:cs="宋体"/>
          <w:sz w:val="21"/>
          <w:szCs w:val="21"/>
        </w:rPr>
      </w:pPr>
    </w:p>
    <w:p>
      <w:pPr>
        <w:pStyle w:val="2"/>
        <w:numPr>
          <w:ilvl w:val="0"/>
          <w:numId w:val="0"/>
        </w:numPr>
        <w:tabs>
          <w:tab w:val="left" w:pos="426"/>
          <w:tab w:val="left" w:pos="3402"/>
        </w:tabs>
        <w:snapToGrid w:val="0"/>
        <w:spacing w:line="240" w:lineRule="auto"/>
        <w:ind w:leftChars="0"/>
        <w:rPr>
          <w:rFonts w:hint="eastAsia" w:ascii="宋体" w:hAnsi="宋体" w:eastAsia="宋体" w:cs="宋体"/>
          <w:sz w:val="21"/>
          <w:szCs w:val="21"/>
        </w:rPr>
      </w:pPr>
    </w:p>
    <w:p>
      <w:pPr>
        <w:pStyle w:val="2"/>
        <w:numPr>
          <w:ilvl w:val="0"/>
          <w:numId w:val="0"/>
        </w:numPr>
        <w:tabs>
          <w:tab w:val="left" w:pos="426"/>
          <w:tab w:val="left" w:pos="3402"/>
        </w:tabs>
        <w:snapToGrid w:val="0"/>
        <w:spacing w:line="240" w:lineRule="auto"/>
        <w:ind w:leftChars="0"/>
        <w:rPr>
          <w:rFonts w:hint="eastAsia" w:ascii="宋体" w:hAnsi="宋体" w:eastAsia="宋体" w:cs="宋体"/>
          <w:sz w:val="21"/>
          <w:szCs w:val="21"/>
        </w:rPr>
      </w:pPr>
    </w:p>
    <w:p>
      <w:pPr>
        <w:pStyle w:val="2"/>
        <w:numPr>
          <w:ilvl w:val="0"/>
          <w:numId w:val="0"/>
        </w:numPr>
        <w:tabs>
          <w:tab w:val="left" w:pos="426"/>
          <w:tab w:val="left" w:pos="3402"/>
        </w:tabs>
        <w:snapToGrid w:val="0"/>
        <w:spacing w:line="240" w:lineRule="auto"/>
        <w:ind w:leftChars="0"/>
        <w:rPr>
          <w:rFonts w:hint="eastAsia" w:ascii="宋体" w:hAnsi="宋体" w:eastAsia="宋体" w:cs="宋体"/>
          <w:sz w:val="21"/>
          <w:szCs w:val="21"/>
        </w:rPr>
      </w:pPr>
    </w:p>
    <w:p>
      <w:pPr>
        <w:pStyle w:val="2"/>
        <w:numPr>
          <w:ilvl w:val="0"/>
          <w:numId w:val="0"/>
        </w:numPr>
        <w:tabs>
          <w:tab w:val="left" w:pos="426"/>
          <w:tab w:val="left" w:pos="3402"/>
        </w:tabs>
        <w:snapToGrid w:val="0"/>
        <w:spacing w:line="240" w:lineRule="auto"/>
        <w:ind w:leftChars="0"/>
        <w:rPr>
          <w:rFonts w:hint="eastAsia" w:ascii="宋体" w:hAnsi="宋体" w:eastAsia="宋体" w:cs="宋体"/>
          <w:sz w:val="21"/>
          <w:szCs w:val="21"/>
        </w:rPr>
      </w:pPr>
    </w:p>
    <w:p>
      <w:pPr>
        <w:pStyle w:val="2"/>
        <w:numPr>
          <w:ilvl w:val="0"/>
          <w:numId w:val="0"/>
        </w:numPr>
        <w:tabs>
          <w:tab w:val="left" w:pos="426"/>
          <w:tab w:val="left" w:pos="3402"/>
        </w:tabs>
        <w:snapToGrid w:val="0"/>
        <w:spacing w:line="240" w:lineRule="auto"/>
        <w:ind w:leftChars="0"/>
        <w:rPr>
          <w:rFonts w:hint="eastAsia" w:ascii="宋体" w:hAnsi="宋体" w:eastAsia="宋体" w:cs="宋体"/>
          <w:sz w:val="21"/>
          <w:szCs w:val="21"/>
        </w:rPr>
      </w:pP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15．酸雨是指pH值≤5.60的大气降水，pH值&lt;4.50为强酸雨。读图文材料，回答问题。(22分)</w:t>
      </w:r>
    </w:p>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材料一　福建省是我国主要酸雨区之一。致酸污染物的排放、酸性物质的省际输送、地理环境和天气条件是造成福建省区域性酸雨污染的主要原因。图1中甲站位于经济欠发达的山区，乙站位于沿海旅游城市，丙站所在城市人口密度高、经济发达。</w:t>
      </w:r>
    </w:p>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"E:\\2021\\同步\\地理\\地理 鲁教 选择性必修3（新教材）鲁苏云\\WORD\\BX3-119霄.TIF"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"E:\\2021\\同步\\地理\\地理 鲁教 选择性必修3（新教材）鲁苏云\\WORD\\BX3-119霄.TIF"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"E:\\2021\\同步\\地理\\地理 鲁教 选择性必修3（新教材）鲁苏云\\WORD\\BX3-119霄.TIF"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"I:\\王真\\2021\\同步\\看PPT\\地理 选择性必修3 鲁 苏 云\\WORD\\BX3-119霄.TIF"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1894205" cy="2145030"/>
            <wp:effectExtent l="0" t="0" r="5715" b="317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r:link="rId14"/>
                    <a:stretch>
                      <a:fillRect/>
                    </a:stretch>
                  </pic:blipFill>
                  <pic:spPr>
                    <a:xfrm>
                      <a:off x="0" y="0"/>
                      <a:ext cx="1894205" cy="2145030"/>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甲、乙、丙三站酸雨监测数据表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656"/>
        <w:gridCol w:w="939"/>
        <w:gridCol w:w="939"/>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gridSpan w:val="2"/>
            <w:tcBorders>
              <w:tl2br w:val="single" w:color="auto" w:sz="4" w:space="0"/>
            </w:tcBorders>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p>
        </w:tc>
        <w:tc>
          <w:tcPr>
            <w:tcW w:w="939"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甲</w:t>
            </w:r>
          </w:p>
        </w:tc>
        <w:tc>
          <w:tcPr>
            <w:tcW w:w="939"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乙</w:t>
            </w:r>
          </w:p>
        </w:tc>
        <w:tc>
          <w:tcPr>
            <w:tcW w:w="1144"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vMerge w:val="restart"/>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夏季</w:t>
            </w:r>
          </w:p>
        </w:tc>
        <w:tc>
          <w:tcPr>
            <w:tcW w:w="1656"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pH值</w:t>
            </w:r>
          </w:p>
        </w:tc>
        <w:tc>
          <w:tcPr>
            <w:tcW w:w="939"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4.75</w:t>
            </w:r>
          </w:p>
        </w:tc>
        <w:tc>
          <w:tcPr>
            <w:tcW w:w="939"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5.21</w:t>
            </w:r>
          </w:p>
        </w:tc>
        <w:tc>
          <w:tcPr>
            <w:tcW w:w="1144"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vMerge w:val="continue"/>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p>
        </w:tc>
        <w:tc>
          <w:tcPr>
            <w:tcW w:w="1656"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酸雨发生频率</w:t>
            </w:r>
          </w:p>
        </w:tc>
        <w:tc>
          <w:tcPr>
            <w:tcW w:w="939"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61.1%</w:t>
            </w:r>
          </w:p>
        </w:tc>
        <w:tc>
          <w:tcPr>
            <w:tcW w:w="939"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22.7%</w:t>
            </w:r>
          </w:p>
        </w:tc>
        <w:tc>
          <w:tcPr>
            <w:tcW w:w="1144"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56" w:type="dxa"/>
            <w:vMerge w:val="restart"/>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冬季</w:t>
            </w:r>
          </w:p>
        </w:tc>
        <w:tc>
          <w:tcPr>
            <w:tcW w:w="1656"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pH值</w:t>
            </w:r>
          </w:p>
        </w:tc>
        <w:tc>
          <w:tcPr>
            <w:tcW w:w="939"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4.43</w:t>
            </w:r>
          </w:p>
        </w:tc>
        <w:tc>
          <w:tcPr>
            <w:tcW w:w="939"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4.98</w:t>
            </w:r>
          </w:p>
        </w:tc>
        <w:tc>
          <w:tcPr>
            <w:tcW w:w="1144"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vMerge w:val="continue"/>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p>
        </w:tc>
        <w:tc>
          <w:tcPr>
            <w:tcW w:w="1656"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酸雨发生频率</w:t>
            </w:r>
          </w:p>
        </w:tc>
        <w:tc>
          <w:tcPr>
            <w:tcW w:w="939"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78.7%</w:t>
            </w:r>
          </w:p>
        </w:tc>
        <w:tc>
          <w:tcPr>
            <w:tcW w:w="939"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52.3%</w:t>
            </w:r>
          </w:p>
        </w:tc>
        <w:tc>
          <w:tcPr>
            <w:tcW w:w="1144" w:type="dxa"/>
            <w:shd w:val="clear" w:color="auto" w:fill="auto"/>
            <w:vAlign w:val="center"/>
          </w:tcPr>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74.2%</w:t>
            </w:r>
          </w:p>
        </w:tc>
      </w:tr>
    </w:tbl>
    <w:p>
      <w:pPr>
        <w:pStyle w:val="2"/>
        <w:tabs>
          <w:tab w:val="left" w:pos="426"/>
          <w:tab w:val="left" w:pos="340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材料二　2007～2014年福建省酸雨统计资料。</w:t>
      </w:r>
    </w:p>
    <w:p>
      <w:pPr>
        <w:pStyle w:val="2"/>
        <w:tabs>
          <w:tab w:val="left" w:pos="426"/>
          <w:tab w:val="left" w:pos="3402"/>
        </w:tabs>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"E:\\2021\\同步\\地理\\地理 鲁教 选择性必修3（新教材）鲁苏云\\WORD\\BX3-120霄.TIF"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"E:\\2021\\同步\\地理\\地理 鲁教 选择性必修3（新教材）鲁苏云\\WORD\\BX3-120霄.TIF"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"E:\\2021\\同步\\地理\\地理 鲁教 选择性必修3（新教材）鲁苏云\\WORD\\BX3-120霄.TIF"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"I:\\王真\\2021\\同步\\看PPT\\地理 选择性必修3 鲁 苏 云\\WORD\\BX3-120霄.TIF"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2522220" cy="1512570"/>
            <wp:effectExtent l="0" t="0" r="381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r:link="rId16"/>
                    <a:stretch>
                      <a:fillRect/>
                    </a:stretch>
                  </pic:blipFill>
                  <pic:spPr>
                    <a:xfrm>
                      <a:off x="0" y="0"/>
                      <a:ext cx="2522220" cy="1512570"/>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2"/>
        <w:numPr>
          <w:ilvl w:val="0"/>
          <w:numId w:val="3"/>
        </w:numPr>
        <w:tabs>
          <w:tab w:val="left" w:pos="426"/>
          <w:tab w:val="left" w:pos="3402"/>
          <w:tab w:val="clear" w:pos="312"/>
        </w:tabs>
        <w:snapToGrid w:val="0"/>
        <w:spacing w:line="240" w:lineRule="auto"/>
        <w:rPr>
          <w:rFonts w:hint="eastAsia" w:ascii="宋体" w:hAnsi="宋体" w:eastAsia="宋体" w:cs="宋体"/>
          <w:sz w:val="21"/>
          <w:szCs w:val="21"/>
        </w:rPr>
      </w:pPr>
      <w:r>
        <w:rPr>
          <w:rFonts w:hint="eastAsia" w:ascii="宋体" w:hAnsi="宋体" w:eastAsia="宋体" w:cs="宋体"/>
          <w:sz w:val="21"/>
          <w:szCs w:val="21"/>
        </w:rPr>
        <w:t>与冬季相比，归纳甲、乙、丙三地夏季酸雨的共同特征，并从季风环流角度分析其原因。(4分)</w:t>
      </w:r>
    </w:p>
    <w:p>
      <w:pPr>
        <w:pStyle w:val="2"/>
        <w:numPr>
          <w:ilvl w:val="0"/>
          <w:numId w:val="0"/>
        </w:numPr>
        <w:tabs>
          <w:tab w:val="left" w:pos="426"/>
          <w:tab w:val="left" w:pos="3402"/>
        </w:tabs>
        <w:snapToGrid w:val="0"/>
        <w:spacing w:line="240" w:lineRule="auto"/>
        <w:rPr>
          <w:rFonts w:hint="eastAsia" w:ascii="宋体" w:hAnsi="宋体" w:eastAsia="宋体" w:cs="宋体"/>
          <w:sz w:val="21"/>
          <w:szCs w:val="21"/>
        </w:rPr>
      </w:pPr>
    </w:p>
    <w:p>
      <w:pPr>
        <w:pStyle w:val="2"/>
        <w:numPr>
          <w:ilvl w:val="0"/>
          <w:numId w:val="0"/>
        </w:numPr>
        <w:tabs>
          <w:tab w:val="left" w:pos="426"/>
          <w:tab w:val="left" w:pos="3402"/>
        </w:tabs>
        <w:snapToGrid w:val="0"/>
        <w:spacing w:line="240" w:lineRule="auto"/>
        <w:rPr>
          <w:rFonts w:hint="eastAsia" w:ascii="宋体" w:hAnsi="宋体" w:eastAsia="宋体" w:cs="宋体"/>
          <w:sz w:val="21"/>
          <w:szCs w:val="21"/>
        </w:rPr>
      </w:pPr>
    </w:p>
    <w:p>
      <w:pPr>
        <w:pStyle w:val="2"/>
        <w:numPr>
          <w:ilvl w:val="0"/>
          <w:numId w:val="0"/>
        </w:numPr>
        <w:tabs>
          <w:tab w:val="left" w:pos="426"/>
          <w:tab w:val="left" w:pos="3402"/>
        </w:tabs>
        <w:snapToGrid w:val="0"/>
        <w:spacing w:line="240" w:lineRule="auto"/>
        <w:rPr>
          <w:rFonts w:hint="eastAsia" w:ascii="宋体" w:hAnsi="宋体" w:eastAsia="宋体" w:cs="宋体"/>
          <w:sz w:val="21"/>
          <w:szCs w:val="21"/>
        </w:rPr>
      </w:pPr>
    </w:p>
    <w:p>
      <w:pPr>
        <w:pStyle w:val="2"/>
        <w:numPr>
          <w:ilvl w:val="0"/>
          <w:numId w:val="3"/>
        </w:numPr>
        <w:tabs>
          <w:tab w:val="left" w:pos="426"/>
          <w:tab w:val="left" w:pos="3402"/>
          <w:tab w:val="clear" w:pos="312"/>
        </w:tabs>
        <w:snapToGrid w:val="0"/>
        <w:spacing w:line="240" w:lineRule="auto"/>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甲、乙、丙三地中，甲地酸雨污染最严重，据材料推测其原因。(4分)</w:t>
      </w:r>
    </w:p>
    <w:p>
      <w:pPr>
        <w:pStyle w:val="2"/>
        <w:numPr>
          <w:ilvl w:val="0"/>
          <w:numId w:val="0"/>
        </w:numPr>
        <w:tabs>
          <w:tab w:val="left" w:pos="426"/>
          <w:tab w:val="left" w:pos="3402"/>
        </w:tabs>
        <w:snapToGrid w:val="0"/>
        <w:spacing w:line="240" w:lineRule="auto"/>
        <w:ind w:leftChars="0"/>
        <w:rPr>
          <w:rFonts w:hint="eastAsia" w:ascii="宋体" w:hAnsi="宋体" w:eastAsia="宋体" w:cs="宋体"/>
          <w:sz w:val="21"/>
          <w:szCs w:val="21"/>
        </w:rPr>
      </w:pPr>
    </w:p>
    <w:p>
      <w:pPr>
        <w:pStyle w:val="2"/>
        <w:numPr>
          <w:ilvl w:val="0"/>
          <w:numId w:val="0"/>
        </w:numPr>
        <w:tabs>
          <w:tab w:val="left" w:pos="426"/>
          <w:tab w:val="left" w:pos="3402"/>
        </w:tabs>
        <w:snapToGrid w:val="0"/>
        <w:spacing w:line="240" w:lineRule="auto"/>
        <w:ind w:leftChars="0"/>
        <w:rPr>
          <w:rFonts w:hint="eastAsia" w:ascii="宋体" w:hAnsi="宋体" w:eastAsia="宋体" w:cs="宋体"/>
          <w:sz w:val="21"/>
          <w:szCs w:val="21"/>
        </w:rPr>
      </w:pPr>
    </w:p>
    <w:p>
      <w:pPr>
        <w:pStyle w:val="2"/>
        <w:numPr>
          <w:ilvl w:val="0"/>
          <w:numId w:val="0"/>
        </w:numPr>
        <w:tabs>
          <w:tab w:val="left" w:pos="426"/>
          <w:tab w:val="left" w:pos="3402"/>
        </w:tabs>
        <w:snapToGrid w:val="0"/>
        <w:spacing w:line="240" w:lineRule="auto"/>
        <w:ind w:leftChars="0"/>
        <w:rPr>
          <w:rFonts w:hint="eastAsia" w:ascii="宋体" w:hAnsi="宋体" w:eastAsia="宋体" w:cs="宋体"/>
          <w:sz w:val="21"/>
          <w:szCs w:val="21"/>
        </w:rPr>
      </w:pPr>
    </w:p>
    <w:p>
      <w:pPr>
        <w:pStyle w:val="2"/>
        <w:numPr>
          <w:ilvl w:val="0"/>
          <w:numId w:val="0"/>
        </w:numPr>
        <w:tabs>
          <w:tab w:val="left" w:pos="426"/>
          <w:tab w:val="left" w:pos="3402"/>
        </w:tabs>
        <w:snapToGrid w:val="0"/>
        <w:spacing w:line="240" w:lineRule="auto"/>
        <w:ind w:leftChars="0"/>
        <w:rPr>
          <w:rFonts w:hint="eastAsia" w:ascii="宋体" w:hAnsi="宋体" w:eastAsia="宋体" w:cs="宋体"/>
          <w:sz w:val="21"/>
          <w:szCs w:val="21"/>
        </w:rPr>
      </w:pPr>
    </w:p>
    <w:p>
      <w:pPr>
        <w:pStyle w:val="2"/>
        <w:numPr>
          <w:ilvl w:val="0"/>
          <w:numId w:val="3"/>
        </w:numPr>
        <w:tabs>
          <w:tab w:val="left" w:pos="426"/>
          <w:tab w:val="left" w:pos="3402"/>
          <w:tab w:val="clear" w:pos="312"/>
        </w:tabs>
        <w:snapToGrid w:val="0"/>
        <w:spacing w:line="240" w:lineRule="auto"/>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概述2007～2014年福建省受酸雨污染的总体变化趋势，并说明判断依据。(4分)</w:t>
      </w:r>
    </w:p>
    <w:p>
      <w:pPr>
        <w:pStyle w:val="2"/>
        <w:numPr>
          <w:ilvl w:val="0"/>
          <w:numId w:val="0"/>
        </w:numPr>
        <w:tabs>
          <w:tab w:val="left" w:pos="426"/>
          <w:tab w:val="left" w:pos="3402"/>
        </w:tabs>
        <w:snapToGrid w:val="0"/>
        <w:spacing w:line="240" w:lineRule="auto"/>
        <w:ind w:leftChars="0"/>
        <w:rPr>
          <w:rFonts w:hint="eastAsia" w:ascii="宋体" w:hAnsi="宋体" w:eastAsia="宋体" w:cs="宋体"/>
          <w:sz w:val="21"/>
          <w:szCs w:val="21"/>
        </w:rPr>
      </w:pPr>
    </w:p>
    <w:p>
      <w:pPr>
        <w:pStyle w:val="2"/>
        <w:numPr>
          <w:ilvl w:val="0"/>
          <w:numId w:val="0"/>
        </w:numPr>
        <w:tabs>
          <w:tab w:val="left" w:pos="426"/>
          <w:tab w:val="left" w:pos="3402"/>
        </w:tabs>
        <w:snapToGrid w:val="0"/>
        <w:spacing w:line="240" w:lineRule="auto"/>
        <w:ind w:leftChars="0"/>
        <w:rPr>
          <w:rFonts w:hint="eastAsia" w:ascii="宋体" w:hAnsi="宋体" w:eastAsia="宋体" w:cs="宋体"/>
          <w:sz w:val="21"/>
          <w:szCs w:val="21"/>
        </w:rPr>
      </w:pPr>
    </w:p>
    <w:p>
      <w:pPr>
        <w:pStyle w:val="2"/>
        <w:numPr>
          <w:ilvl w:val="0"/>
          <w:numId w:val="0"/>
        </w:numPr>
        <w:tabs>
          <w:tab w:val="left" w:pos="426"/>
          <w:tab w:val="left" w:pos="3402"/>
        </w:tabs>
        <w:snapToGrid w:val="0"/>
        <w:spacing w:line="240" w:lineRule="auto"/>
        <w:ind w:leftChars="0"/>
        <w:rPr>
          <w:rFonts w:hint="eastAsia" w:ascii="宋体" w:hAnsi="宋体" w:eastAsia="宋体" w:cs="宋体"/>
          <w:sz w:val="21"/>
          <w:szCs w:val="21"/>
        </w:rPr>
      </w:pPr>
    </w:p>
    <w:p>
      <w:pPr>
        <w:pStyle w:val="2"/>
        <w:numPr>
          <w:ilvl w:val="0"/>
          <w:numId w:val="0"/>
        </w:numPr>
        <w:tabs>
          <w:tab w:val="left" w:pos="426"/>
          <w:tab w:val="left" w:pos="3402"/>
        </w:tabs>
        <w:snapToGrid w:val="0"/>
        <w:spacing w:line="240" w:lineRule="auto"/>
        <w:ind w:leftChars="0"/>
        <w:rPr>
          <w:rFonts w:hint="eastAsia" w:ascii="宋体" w:hAnsi="宋体" w:eastAsia="宋体" w:cs="宋体"/>
          <w:sz w:val="21"/>
          <w:szCs w:val="21"/>
        </w:rPr>
      </w:pPr>
    </w:p>
    <w:p>
      <w:pPr>
        <w:pStyle w:val="2"/>
        <w:numPr>
          <w:ilvl w:val="0"/>
          <w:numId w:val="3"/>
        </w:numPr>
        <w:tabs>
          <w:tab w:val="left" w:pos="426"/>
          <w:tab w:val="left" w:pos="3402"/>
          <w:tab w:val="clear" w:pos="312"/>
        </w:tabs>
        <w:snapToGrid w:val="0"/>
        <w:spacing w:line="240" w:lineRule="auto"/>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简析为减轻酸雨造成的危害，福建省可采取的治理措施。(10分)</w:t>
      </w:r>
    </w:p>
    <w:p>
      <w:pPr>
        <w:rPr>
          <w:rFonts w:hint="eastAsia" w:ascii="黑体" w:hAnsi="宋体" w:eastAsia="黑体"/>
          <w:b/>
          <w:color w:val="auto"/>
          <w:sz w:val="28"/>
          <w:szCs w:val="28"/>
        </w:rPr>
      </w:pPr>
      <w:r>
        <w:rPr>
          <w:rFonts w:hint="eastAsia" w:ascii="黑体" w:hAnsi="宋体" w:eastAsia="黑体"/>
          <w:b/>
          <w:color w:val="auto"/>
          <w:sz w:val="28"/>
          <w:szCs w:val="28"/>
        </w:rPr>
        <w:br w:type="page"/>
      </w:r>
    </w:p>
    <w:p>
      <w:pPr>
        <w:rPr>
          <w:rFonts w:hint="eastAsia" w:ascii="黑体" w:hAnsi="宋体" w:eastAsia="黑体"/>
          <w:b/>
          <w:color w:val="auto"/>
          <w:sz w:val="28"/>
          <w:szCs w:val="28"/>
          <w:lang w:val="en-US" w:eastAsia="zh-CN"/>
        </w:rPr>
      </w:pPr>
      <w:r>
        <w:rPr>
          <w:rFonts w:hint="eastAsia" w:ascii="黑体" w:hAnsi="宋体" w:eastAsia="黑体"/>
          <w:b/>
          <w:color w:val="auto"/>
          <w:sz w:val="28"/>
          <w:szCs w:val="28"/>
        </w:rPr>
        <w:t>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lang w:val="en-US" w:eastAsia="zh-CN"/>
        </w:rPr>
        <w:t>补充练习</w:t>
      </w:r>
    </w:p>
    <w:p>
      <w:pPr>
        <w:spacing w:line="240" w:lineRule="auto"/>
        <w:ind w:firstLine="420"/>
        <w:jc w:val="left"/>
        <w:textAlignment w:val="center"/>
        <w:rPr>
          <w:rFonts w:hint="eastAsia" w:ascii="宋体" w:hAnsi="宋体" w:eastAsia="宋体" w:cs="宋体"/>
          <w:bCs/>
          <w:sz w:val="21"/>
          <w:szCs w:val="21"/>
        </w:rPr>
      </w:pPr>
      <w:r>
        <w:rPr>
          <w:rFonts w:hint="eastAsia" w:ascii="宋体" w:hAnsi="宋体" w:eastAsia="宋体" w:cs="宋体"/>
          <w:bCs/>
          <w:sz w:val="21"/>
          <w:szCs w:val="21"/>
        </w:rPr>
        <w:t>界首市位于安徽省西北部，其从事回收经营人员达10万人，废旧电瓶年回收量约占全国的30%，再生塑料年回收量约占全国的10%。2007年界首某工业区被发改委批准为全国循环经济试点园区。自此，依托再生资源优势，界首培育了再生金属和再生塑料两大综合利用产业，走出了一条开发“城市矿产”、实现绿色崛起的县域经济发展之路。下图示意界首市位置。据此完成下面</w:t>
      </w:r>
      <w:r>
        <w:rPr>
          <w:rFonts w:hint="eastAsia" w:ascii="宋体" w:hAnsi="宋体" w:eastAsia="宋体" w:cs="宋体"/>
          <w:bCs/>
          <w:sz w:val="21"/>
          <w:szCs w:val="21"/>
          <w:lang w:val="en-US" w:eastAsia="zh-CN"/>
        </w:rPr>
        <w:t>16</w:t>
      </w:r>
      <w:r>
        <w:rPr>
          <w:rFonts w:hint="eastAsia" w:ascii="宋体" w:hAnsi="宋体" w:eastAsia="宋体" w:cs="宋体"/>
          <w:bCs/>
          <w:sz w:val="21"/>
          <w:szCs w:val="21"/>
        </w:rPr>
        <w:t>-</w:t>
      </w:r>
      <w:r>
        <w:rPr>
          <w:rFonts w:hint="eastAsia" w:ascii="宋体" w:hAnsi="宋体" w:eastAsia="宋体" w:cs="宋体"/>
          <w:bCs/>
          <w:sz w:val="21"/>
          <w:szCs w:val="21"/>
          <w:lang w:val="en-US" w:eastAsia="zh-CN"/>
        </w:rPr>
        <w:t>18</w:t>
      </w:r>
      <w:r>
        <w:rPr>
          <w:rFonts w:hint="eastAsia" w:ascii="宋体" w:hAnsi="宋体" w:eastAsia="宋体" w:cs="宋体"/>
          <w:bCs/>
          <w:sz w:val="21"/>
          <w:szCs w:val="21"/>
        </w:rPr>
        <w:t>题。</w:t>
      </w:r>
    </w:p>
    <w:p>
      <w:pPr>
        <w:spacing w:line="240" w:lineRule="auto"/>
        <w:jc w:val="center"/>
        <w:textAlignment w:val="center"/>
        <w:rPr>
          <w:rFonts w:hint="eastAsia" w:ascii="宋体" w:hAnsi="宋体" w:eastAsia="宋体" w:cs="宋体"/>
          <w:bCs/>
          <w:sz w:val="21"/>
          <w:szCs w:val="21"/>
        </w:rPr>
      </w:pPr>
      <w:r>
        <w:rPr>
          <w:rFonts w:hint="eastAsia" w:ascii="宋体" w:hAnsi="宋体" w:eastAsia="宋体" w:cs="宋体"/>
          <w:bCs/>
          <w:sz w:val="21"/>
          <w:szCs w:val="21"/>
        </w:rPr>
        <w:drawing>
          <wp:inline distT="0" distB="0" distL="114300" distR="114300">
            <wp:extent cx="1746250" cy="1222375"/>
            <wp:effectExtent l="0" t="0" r="6350" b="1587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7"/>
                    <a:stretch>
                      <a:fillRect/>
                    </a:stretch>
                  </pic:blipFill>
                  <pic:spPr>
                    <a:xfrm>
                      <a:off x="0" y="0"/>
                      <a:ext cx="1746250" cy="1222375"/>
                    </a:xfrm>
                    <a:prstGeom prst="rect">
                      <a:avLst/>
                    </a:prstGeom>
                  </pic:spPr>
                </pic:pic>
              </a:graphicData>
            </a:graphic>
          </wp:inline>
        </w:drawing>
      </w:r>
      <w:bookmarkStart w:id="0" w:name="_GoBack"/>
      <w:bookmarkEnd w:id="0"/>
    </w:p>
    <w:p>
      <w:pPr>
        <w:spacing w:line="240" w:lineRule="auto"/>
        <w:jc w:val="left"/>
        <w:textAlignment w:val="center"/>
        <w:rPr>
          <w:rFonts w:hint="eastAsia" w:ascii="宋体" w:hAnsi="宋体" w:eastAsia="宋体" w:cs="宋体"/>
          <w:bCs/>
          <w:sz w:val="21"/>
          <w:szCs w:val="21"/>
        </w:rPr>
      </w:pPr>
      <w:r>
        <w:rPr>
          <w:rFonts w:hint="eastAsia" w:ascii="宋体" w:hAnsi="宋体" w:eastAsia="宋体" w:cs="宋体"/>
          <w:bCs/>
          <w:sz w:val="21"/>
          <w:szCs w:val="21"/>
          <w:lang w:val="en-US" w:eastAsia="zh-CN"/>
        </w:rPr>
        <w:t>16</w:t>
      </w:r>
      <w:r>
        <w:rPr>
          <w:rFonts w:hint="eastAsia" w:ascii="宋体" w:hAnsi="宋体" w:eastAsia="宋体" w:cs="宋体"/>
          <w:bCs/>
          <w:sz w:val="21"/>
          <w:szCs w:val="21"/>
        </w:rPr>
        <w:t>．促使界首成为我国再生金属、再生塑料生产基地的主导因素是（     ）</w:t>
      </w:r>
    </w:p>
    <w:p>
      <w:pPr>
        <w:tabs>
          <w:tab w:val="left" w:pos="2076"/>
          <w:tab w:val="left" w:pos="4153"/>
          <w:tab w:val="left" w:pos="6229"/>
        </w:tabs>
        <w:spacing w:line="240" w:lineRule="auto"/>
        <w:jc w:val="left"/>
        <w:textAlignment w:val="center"/>
        <w:rPr>
          <w:rFonts w:hint="eastAsia" w:ascii="宋体" w:hAnsi="宋体" w:eastAsia="宋体" w:cs="宋体"/>
          <w:bCs/>
          <w:sz w:val="21"/>
          <w:szCs w:val="21"/>
        </w:rPr>
      </w:pPr>
      <w:r>
        <w:rPr>
          <w:rFonts w:hint="eastAsia" w:ascii="宋体" w:hAnsi="宋体" w:eastAsia="宋体" w:cs="宋体"/>
          <w:bCs/>
          <w:sz w:val="21"/>
          <w:szCs w:val="21"/>
        </w:rPr>
        <w:t>A．市场</w:t>
      </w:r>
      <w:r>
        <w:rPr>
          <w:rFonts w:hint="eastAsia" w:ascii="宋体" w:hAnsi="宋体" w:eastAsia="宋体" w:cs="宋体"/>
          <w:bCs/>
          <w:sz w:val="21"/>
          <w:szCs w:val="21"/>
        </w:rPr>
        <w:tab/>
      </w:r>
      <w:r>
        <w:rPr>
          <w:rFonts w:hint="eastAsia" w:ascii="宋体" w:hAnsi="宋体" w:eastAsia="宋体" w:cs="宋体"/>
          <w:bCs/>
          <w:sz w:val="21"/>
          <w:szCs w:val="21"/>
        </w:rPr>
        <w:t>B．交通</w:t>
      </w:r>
      <w:r>
        <w:rPr>
          <w:rFonts w:hint="eastAsia" w:ascii="宋体" w:hAnsi="宋体" w:eastAsia="宋体" w:cs="宋体"/>
          <w:bCs/>
          <w:sz w:val="21"/>
          <w:szCs w:val="21"/>
        </w:rPr>
        <w:tab/>
      </w:r>
      <w:r>
        <w:rPr>
          <w:rFonts w:hint="eastAsia" w:ascii="宋体" w:hAnsi="宋体" w:eastAsia="宋体" w:cs="宋体"/>
          <w:bCs/>
          <w:sz w:val="21"/>
          <w:szCs w:val="21"/>
        </w:rPr>
        <w:t>C．政策</w:t>
      </w:r>
      <w:r>
        <w:rPr>
          <w:rFonts w:hint="eastAsia" w:ascii="宋体" w:hAnsi="宋体" w:eastAsia="宋体" w:cs="宋体"/>
          <w:bCs/>
          <w:sz w:val="21"/>
          <w:szCs w:val="21"/>
        </w:rPr>
        <w:tab/>
      </w:r>
      <w:r>
        <w:rPr>
          <w:rFonts w:hint="eastAsia" w:ascii="宋体" w:hAnsi="宋体" w:eastAsia="宋体" w:cs="宋体"/>
          <w:bCs/>
          <w:sz w:val="21"/>
          <w:szCs w:val="21"/>
        </w:rPr>
        <w:t>D．劳动力</w:t>
      </w:r>
    </w:p>
    <w:p>
      <w:pPr>
        <w:spacing w:line="240" w:lineRule="auto"/>
        <w:jc w:val="left"/>
        <w:textAlignment w:val="center"/>
        <w:rPr>
          <w:rFonts w:hint="eastAsia" w:ascii="宋体" w:hAnsi="宋体" w:eastAsia="宋体" w:cs="宋体"/>
          <w:bCs/>
          <w:sz w:val="21"/>
          <w:szCs w:val="21"/>
        </w:rPr>
      </w:pPr>
      <w:r>
        <w:rPr>
          <w:rFonts w:hint="eastAsia" w:ascii="宋体" w:hAnsi="宋体" w:eastAsia="宋体" w:cs="宋体"/>
          <w:bCs/>
          <w:sz w:val="21"/>
          <w:szCs w:val="21"/>
          <w:lang w:val="en-US" w:eastAsia="zh-CN"/>
        </w:rPr>
        <w:t>17</w:t>
      </w:r>
      <w:r>
        <w:rPr>
          <w:rFonts w:hint="eastAsia" w:ascii="宋体" w:hAnsi="宋体" w:eastAsia="宋体" w:cs="宋体"/>
          <w:bCs/>
          <w:sz w:val="21"/>
          <w:szCs w:val="21"/>
        </w:rPr>
        <w:t>．界首经济开发区集聚了国内外数十家生产塑料彩条布、尼龙绳、尼龙网企业，其最主要的原因是（     ）</w:t>
      </w:r>
    </w:p>
    <w:p>
      <w:pPr>
        <w:tabs>
          <w:tab w:val="left" w:pos="2076"/>
          <w:tab w:val="left" w:pos="4153"/>
          <w:tab w:val="left" w:pos="6229"/>
        </w:tabs>
        <w:spacing w:line="240" w:lineRule="auto"/>
        <w:jc w:val="left"/>
        <w:textAlignment w:val="center"/>
        <w:rPr>
          <w:rFonts w:hint="eastAsia" w:ascii="宋体" w:hAnsi="宋体" w:eastAsia="宋体" w:cs="宋体"/>
          <w:bCs/>
          <w:sz w:val="21"/>
          <w:szCs w:val="21"/>
        </w:rPr>
      </w:pPr>
      <w:r>
        <w:rPr>
          <w:rFonts w:hint="eastAsia" w:ascii="宋体" w:hAnsi="宋体" w:eastAsia="宋体" w:cs="宋体"/>
          <w:bCs/>
          <w:sz w:val="21"/>
          <w:szCs w:val="21"/>
        </w:rPr>
        <w:t>A．原料丰富</w:t>
      </w:r>
      <w:r>
        <w:rPr>
          <w:rFonts w:hint="eastAsia" w:ascii="宋体" w:hAnsi="宋体" w:eastAsia="宋体" w:cs="宋体"/>
          <w:bCs/>
          <w:sz w:val="21"/>
          <w:szCs w:val="21"/>
        </w:rPr>
        <w:tab/>
      </w:r>
      <w:r>
        <w:rPr>
          <w:rFonts w:hint="eastAsia" w:ascii="宋体" w:hAnsi="宋体" w:eastAsia="宋体" w:cs="宋体"/>
          <w:bCs/>
          <w:sz w:val="21"/>
          <w:szCs w:val="21"/>
        </w:rPr>
        <w:t>B．土地价格低</w:t>
      </w:r>
      <w:r>
        <w:rPr>
          <w:rFonts w:hint="eastAsia" w:ascii="宋体" w:hAnsi="宋体" w:eastAsia="宋体" w:cs="宋体"/>
          <w:bCs/>
          <w:sz w:val="21"/>
          <w:szCs w:val="21"/>
        </w:rPr>
        <w:tab/>
      </w:r>
      <w:r>
        <w:rPr>
          <w:rFonts w:hint="eastAsia" w:ascii="宋体" w:hAnsi="宋体" w:eastAsia="宋体" w:cs="宋体"/>
          <w:bCs/>
          <w:sz w:val="21"/>
          <w:szCs w:val="21"/>
        </w:rPr>
        <w:t>C．动力充足</w:t>
      </w:r>
      <w:r>
        <w:rPr>
          <w:rFonts w:hint="eastAsia" w:ascii="宋体" w:hAnsi="宋体" w:eastAsia="宋体" w:cs="宋体"/>
          <w:bCs/>
          <w:sz w:val="21"/>
          <w:szCs w:val="21"/>
        </w:rPr>
        <w:tab/>
      </w:r>
      <w:r>
        <w:rPr>
          <w:rFonts w:hint="eastAsia" w:ascii="宋体" w:hAnsi="宋体" w:eastAsia="宋体" w:cs="宋体"/>
          <w:bCs/>
          <w:sz w:val="21"/>
          <w:szCs w:val="21"/>
        </w:rPr>
        <w:t>D．协作条件好</w:t>
      </w:r>
    </w:p>
    <w:p>
      <w:pPr>
        <w:spacing w:line="240" w:lineRule="auto"/>
        <w:jc w:val="left"/>
        <w:textAlignment w:val="center"/>
        <w:rPr>
          <w:rFonts w:hint="eastAsia" w:ascii="宋体" w:hAnsi="宋体" w:eastAsia="宋体" w:cs="宋体"/>
          <w:bCs/>
          <w:sz w:val="21"/>
          <w:szCs w:val="21"/>
        </w:rPr>
      </w:pPr>
      <w:r>
        <w:rPr>
          <w:rFonts w:hint="eastAsia" w:ascii="宋体" w:hAnsi="宋体" w:eastAsia="宋体" w:cs="宋体"/>
          <w:bCs/>
          <w:sz w:val="21"/>
          <w:szCs w:val="21"/>
          <w:lang w:val="en-US" w:eastAsia="zh-CN"/>
        </w:rPr>
        <w:t>18</w:t>
      </w:r>
      <w:r>
        <w:rPr>
          <w:rFonts w:hint="eastAsia" w:ascii="宋体" w:hAnsi="宋体" w:eastAsia="宋体" w:cs="宋体"/>
          <w:bCs/>
          <w:sz w:val="21"/>
          <w:szCs w:val="21"/>
        </w:rPr>
        <w:t>．在我国推广建设“城市矿产”基地，可以（     ）</w:t>
      </w:r>
    </w:p>
    <w:p>
      <w:pPr>
        <w:tabs>
          <w:tab w:val="left" w:pos="2076"/>
          <w:tab w:val="left" w:pos="4153"/>
          <w:tab w:val="left" w:pos="6229"/>
        </w:tabs>
        <w:spacing w:line="240" w:lineRule="auto"/>
        <w:jc w:val="left"/>
        <w:textAlignment w:val="center"/>
        <w:rPr>
          <w:rFonts w:hint="eastAsia" w:ascii="宋体" w:hAnsi="宋体" w:eastAsia="宋体" w:cs="宋体"/>
          <w:bCs/>
          <w:sz w:val="21"/>
          <w:szCs w:val="21"/>
        </w:rPr>
      </w:pPr>
      <w:r>
        <w:rPr>
          <w:rFonts w:hint="eastAsia" w:ascii="宋体" w:hAnsi="宋体" w:eastAsia="宋体" w:cs="宋体"/>
          <w:bCs/>
          <w:sz w:val="21"/>
          <w:szCs w:val="21"/>
        </w:rPr>
        <w:t>A．实现废物零排放</w:t>
      </w:r>
      <w:r>
        <w:rPr>
          <w:rFonts w:hint="eastAsia" w:ascii="宋体" w:hAnsi="宋体" w:eastAsia="宋体" w:cs="宋体"/>
          <w:bCs/>
          <w:sz w:val="21"/>
          <w:szCs w:val="21"/>
        </w:rPr>
        <w:tab/>
      </w:r>
      <w:r>
        <w:rPr>
          <w:rFonts w:hint="eastAsia" w:ascii="宋体" w:hAnsi="宋体" w:eastAsia="宋体" w:cs="宋体"/>
          <w:bCs/>
          <w:sz w:val="21"/>
          <w:szCs w:val="21"/>
        </w:rPr>
        <w:t>B．解决实产资源不足</w:t>
      </w:r>
      <w:r>
        <w:rPr>
          <w:rFonts w:hint="eastAsia" w:ascii="宋体" w:hAnsi="宋体" w:eastAsia="宋体" w:cs="宋体"/>
          <w:bCs/>
          <w:sz w:val="21"/>
          <w:szCs w:val="21"/>
        </w:rPr>
        <w:tab/>
      </w:r>
      <w:r>
        <w:rPr>
          <w:rFonts w:hint="eastAsia" w:ascii="宋体" w:hAnsi="宋体" w:eastAsia="宋体" w:cs="宋体"/>
          <w:bCs/>
          <w:sz w:val="21"/>
          <w:szCs w:val="21"/>
        </w:rPr>
        <w:t>C．提高资源利用率</w:t>
      </w:r>
      <w:r>
        <w:rPr>
          <w:rFonts w:hint="eastAsia" w:ascii="宋体" w:hAnsi="宋体" w:eastAsia="宋体" w:cs="宋体"/>
          <w:bCs/>
          <w:sz w:val="21"/>
          <w:szCs w:val="21"/>
        </w:rPr>
        <w:tab/>
      </w:r>
      <w:r>
        <w:rPr>
          <w:rFonts w:hint="eastAsia" w:ascii="宋体" w:hAnsi="宋体" w:eastAsia="宋体" w:cs="宋体"/>
          <w:bCs/>
          <w:sz w:val="21"/>
          <w:szCs w:val="21"/>
        </w:rPr>
        <w:t>D．降低居民生活成本</w:t>
      </w:r>
    </w:p>
    <w:p>
      <w:pPr>
        <w:spacing w:line="240" w:lineRule="auto"/>
        <w:jc w:val="left"/>
        <w:textAlignment w:val="center"/>
        <w:rPr>
          <w:rFonts w:hint="eastAsia" w:ascii="宋体" w:hAnsi="宋体" w:eastAsia="宋体" w:cs="宋体"/>
          <w:bCs/>
          <w:sz w:val="21"/>
          <w:szCs w:val="21"/>
        </w:rPr>
      </w:pPr>
      <w:r>
        <w:rPr>
          <w:rFonts w:hint="eastAsia" w:ascii="宋体" w:hAnsi="宋体" w:eastAsia="宋体" w:cs="宋体"/>
          <w:bCs/>
          <w:sz w:val="21"/>
          <w:szCs w:val="21"/>
        </w:rPr>
        <w:t>1</w:t>
      </w:r>
      <w:r>
        <w:rPr>
          <w:rFonts w:hint="eastAsia" w:ascii="宋体" w:hAnsi="宋体" w:eastAsia="宋体" w:cs="宋体"/>
          <w:bCs/>
          <w:sz w:val="21"/>
          <w:szCs w:val="21"/>
          <w:lang w:val="en-US" w:eastAsia="zh-CN"/>
        </w:rPr>
        <w:t>9</w:t>
      </w:r>
      <w:r>
        <w:rPr>
          <w:rFonts w:hint="eastAsia" w:ascii="宋体" w:hAnsi="宋体" w:eastAsia="宋体" w:cs="宋体"/>
          <w:bCs/>
          <w:sz w:val="21"/>
          <w:szCs w:val="21"/>
        </w:rPr>
        <w:t>．阅读图文材料，完成下列要求。</w:t>
      </w:r>
    </w:p>
    <w:p>
      <w:pPr>
        <w:spacing w:line="240" w:lineRule="auto"/>
        <w:ind w:firstLine="420" w:firstLineChars="200"/>
        <w:jc w:val="left"/>
        <w:textAlignment w:val="center"/>
        <w:rPr>
          <w:rFonts w:hint="eastAsia" w:ascii="宋体" w:hAnsi="宋体" w:eastAsia="宋体" w:cs="宋体"/>
          <w:bCs/>
          <w:sz w:val="21"/>
          <w:szCs w:val="21"/>
        </w:rPr>
      </w:pPr>
      <w:r>
        <w:rPr>
          <w:rFonts w:hint="eastAsia" w:ascii="宋体" w:hAnsi="宋体" w:eastAsia="宋体" w:cs="宋体"/>
          <w:bCs/>
          <w:sz w:val="21"/>
          <w:szCs w:val="21"/>
        </w:rPr>
        <w:drawing>
          <wp:anchor distT="0" distB="0" distL="114300" distR="114300" simplePos="0" relativeHeight="251664384" behindDoc="0" locked="0" layoutInCell="1" allowOverlap="1">
            <wp:simplePos x="0" y="0"/>
            <wp:positionH relativeFrom="column">
              <wp:posOffset>1967230</wp:posOffset>
            </wp:positionH>
            <wp:positionV relativeFrom="paragraph">
              <wp:posOffset>746760</wp:posOffset>
            </wp:positionV>
            <wp:extent cx="2169160" cy="1191895"/>
            <wp:effectExtent l="0" t="0" r="635" b="6350"/>
            <wp:wrapSquare wrapText="bothSides"/>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8"/>
                    <a:stretch>
                      <a:fillRect/>
                    </a:stretch>
                  </pic:blipFill>
                  <pic:spPr>
                    <a:xfrm>
                      <a:off x="0" y="0"/>
                      <a:ext cx="2169160" cy="1191895"/>
                    </a:xfrm>
                    <a:prstGeom prst="rect">
                      <a:avLst/>
                    </a:prstGeom>
                  </pic:spPr>
                </pic:pic>
              </a:graphicData>
            </a:graphic>
          </wp:anchor>
        </w:drawing>
      </w:r>
      <w:r>
        <w:rPr>
          <w:rFonts w:hint="eastAsia" w:ascii="宋体" w:hAnsi="宋体" w:eastAsia="宋体" w:cs="宋体"/>
          <w:bCs/>
          <w:sz w:val="21"/>
          <w:szCs w:val="21"/>
        </w:rPr>
        <w:drawing>
          <wp:anchor distT="0" distB="0" distL="114300" distR="114300" simplePos="0" relativeHeight="251663360" behindDoc="0" locked="0" layoutInCell="1" allowOverlap="1">
            <wp:simplePos x="0" y="0"/>
            <wp:positionH relativeFrom="column">
              <wp:posOffset>4154170</wp:posOffset>
            </wp:positionH>
            <wp:positionV relativeFrom="paragraph">
              <wp:posOffset>673735</wp:posOffset>
            </wp:positionV>
            <wp:extent cx="1411605" cy="1985010"/>
            <wp:effectExtent l="0" t="0" r="2540" b="1270"/>
            <wp:wrapSquare wrapText="bothSides"/>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9"/>
                    <a:stretch>
                      <a:fillRect/>
                    </a:stretch>
                  </pic:blipFill>
                  <pic:spPr>
                    <a:xfrm>
                      <a:off x="0" y="0"/>
                      <a:ext cx="1411605" cy="1985010"/>
                    </a:xfrm>
                    <a:prstGeom prst="rect">
                      <a:avLst/>
                    </a:prstGeom>
                  </pic:spPr>
                </pic:pic>
              </a:graphicData>
            </a:graphic>
          </wp:anchor>
        </w:drawing>
      </w:r>
      <w:r>
        <w:rPr>
          <w:rFonts w:hint="eastAsia" w:ascii="宋体" w:hAnsi="宋体" w:eastAsia="宋体" w:cs="宋体"/>
          <w:bCs/>
          <w:sz w:val="21"/>
          <w:szCs w:val="21"/>
        </w:rPr>
        <w:t>材料一：近日，辽宁大连海关截获的23.71吨“洋垃圾”在大连港码头被退运出境。网友纷纷表示：“支持！拒绝洋垃圾！”据了解，这票名为“皮革废碎料”的货物未经海关申报，且为我国禁止进口的固体废物。“洋垃圾”大量囤积在我国境内带来多种危害，是我国环境问题的重要源头之一。</w:t>
      </w:r>
    </w:p>
    <w:p>
      <w:pPr>
        <w:spacing w:line="240" w:lineRule="auto"/>
        <w:ind w:firstLine="420" w:firstLineChars="200"/>
        <w:jc w:val="left"/>
        <w:textAlignment w:val="center"/>
        <w:rPr>
          <w:rFonts w:hint="eastAsia" w:ascii="宋体" w:hAnsi="宋体" w:eastAsia="宋体" w:cs="宋体"/>
          <w:bCs/>
          <w:sz w:val="21"/>
          <w:szCs w:val="21"/>
        </w:rPr>
      </w:pPr>
      <w:r>
        <w:rPr>
          <w:rFonts w:hint="eastAsia" w:ascii="宋体" w:hAnsi="宋体" w:eastAsia="宋体" w:cs="宋体"/>
          <w:bCs/>
          <w:sz w:val="21"/>
          <w:szCs w:val="21"/>
        </w:rPr>
        <w:t>材料二：国家邮政局数据显示，2020年我国全年的快递共产生了1600多万吨的“天量”固态垃圾，相当于约1.5亿个成年人的体重。目前，包装材料总量庞大、种类较多，消耗增长迅速，过度包装、层层叠加、“大材小用”现象较为普遍，过度包装不仅消耗大量资源，还产生大量垃圾。国家统计数据显示，近些年，因快递包装产生的垃圾增量占生活垃圾增量的八成以上。大量快递包装垃圾造成严重环境污染。</w:t>
      </w:r>
    </w:p>
    <w:p>
      <w:pPr>
        <w:numPr>
          <w:ilvl w:val="0"/>
          <w:numId w:val="4"/>
        </w:numPr>
        <w:spacing w:line="240" w:lineRule="auto"/>
        <w:jc w:val="left"/>
        <w:textAlignment w:val="center"/>
        <w:rPr>
          <w:rFonts w:hint="eastAsia" w:ascii="宋体" w:hAnsi="宋体" w:eastAsia="宋体" w:cs="宋体"/>
          <w:bCs/>
          <w:sz w:val="21"/>
          <w:szCs w:val="21"/>
        </w:rPr>
      </w:pPr>
      <w:r>
        <w:rPr>
          <w:rFonts w:hint="eastAsia" w:ascii="宋体" w:hAnsi="宋体" w:eastAsia="宋体" w:cs="宋体"/>
          <w:bCs/>
          <w:sz w:val="21"/>
          <w:szCs w:val="21"/>
        </w:rPr>
        <w:t>阅读材料一，说明“洋垃圾”入境对我国产生的危害。</w:t>
      </w:r>
    </w:p>
    <w:p>
      <w:pPr>
        <w:spacing w:line="240" w:lineRule="auto"/>
        <w:jc w:val="left"/>
        <w:textAlignment w:val="center"/>
        <w:rPr>
          <w:rFonts w:hint="eastAsia" w:ascii="宋体" w:hAnsi="宋体" w:eastAsia="宋体" w:cs="宋体"/>
          <w:bCs/>
          <w:sz w:val="21"/>
          <w:szCs w:val="21"/>
        </w:rPr>
      </w:pPr>
    </w:p>
    <w:p>
      <w:pPr>
        <w:spacing w:line="240" w:lineRule="auto"/>
        <w:jc w:val="left"/>
        <w:textAlignment w:val="center"/>
        <w:rPr>
          <w:rFonts w:hint="eastAsia" w:ascii="宋体" w:hAnsi="宋体" w:eastAsia="宋体" w:cs="宋体"/>
          <w:sz w:val="21"/>
          <w:szCs w:val="21"/>
          <w:lang w:val="zh-CN"/>
        </w:rPr>
      </w:pPr>
      <w:r>
        <w:rPr>
          <w:rFonts w:hint="eastAsia" w:ascii="宋体" w:hAnsi="宋体" w:eastAsia="宋体" w:cs="宋体"/>
          <w:bCs/>
          <w:sz w:val="21"/>
          <w:szCs w:val="21"/>
        </w:rPr>
        <w:t>(2)阅读材料二，针对上述问题，请你提出合理的解决措施。</w:t>
      </w: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807F30"/>
    <w:multiLevelType w:val="singleLevel"/>
    <w:tmpl w:val="B9807F30"/>
    <w:lvl w:ilvl="0" w:tentative="0">
      <w:start w:val="1"/>
      <w:numFmt w:val="decimal"/>
      <w:lvlText w:val="(%1)"/>
      <w:lvlJc w:val="left"/>
      <w:pPr>
        <w:tabs>
          <w:tab w:val="left" w:pos="312"/>
        </w:tabs>
      </w:pPr>
    </w:lvl>
  </w:abstractNum>
  <w:abstractNum w:abstractNumId="1">
    <w:nsid w:val="0590E357"/>
    <w:multiLevelType w:val="singleLevel"/>
    <w:tmpl w:val="0590E357"/>
    <w:lvl w:ilvl="0" w:tentative="0">
      <w:start w:val="1"/>
      <w:numFmt w:val="decimal"/>
      <w:lvlText w:val="(%1)"/>
      <w:lvlJc w:val="left"/>
      <w:pPr>
        <w:tabs>
          <w:tab w:val="left" w:pos="312"/>
        </w:tabs>
      </w:pPr>
    </w:lvl>
  </w:abstractNum>
  <w:abstractNum w:abstractNumId="2">
    <w:nsid w:val="539F4056"/>
    <w:multiLevelType w:val="singleLevel"/>
    <w:tmpl w:val="539F4056"/>
    <w:lvl w:ilvl="0" w:tentative="0">
      <w:start w:val="1"/>
      <w:numFmt w:val="decimal"/>
      <w:suff w:val="nothing"/>
      <w:lvlText w:val="%1．"/>
      <w:lvlJc w:val="left"/>
    </w:lvl>
  </w:abstractNum>
  <w:abstractNum w:abstractNumId="3">
    <w:nsid w:val="71E1A4C6"/>
    <w:multiLevelType w:val="singleLevel"/>
    <w:tmpl w:val="71E1A4C6"/>
    <w:lvl w:ilvl="0" w:tentative="0">
      <w:start w:val="1"/>
      <w:numFmt w:val="decimal"/>
      <w:lvlText w:val="(%1)"/>
      <w:lvlJc w:val="left"/>
      <w:pPr>
        <w:tabs>
          <w:tab w:val="left" w:pos="312"/>
        </w:tabs>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8853FFD"/>
    <w:rsid w:val="08932218"/>
    <w:rsid w:val="0C8C0597"/>
    <w:rsid w:val="0ED53726"/>
    <w:rsid w:val="133C0BDD"/>
    <w:rsid w:val="1A0E1F0C"/>
    <w:rsid w:val="1B49431C"/>
    <w:rsid w:val="1BFC6A44"/>
    <w:rsid w:val="1D834456"/>
    <w:rsid w:val="1DAA0A7F"/>
    <w:rsid w:val="1EC96870"/>
    <w:rsid w:val="1EE70F67"/>
    <w:rsid w:val="20B174CF"/>
    <w:rsid w:val="20DC5095"/>
    <w:rsid w:val="22F14545"/>
    <w:rsid w:val="29E672BE"/>
    <w:rsid w:val="2A523758"/>
    <w:rsid w:val="32BA1F29"/>
    <w:rsid w:val="32E27A95"/>
    <w:rsid w:val="34C71F92"/>
    <w:rsid w:val="36617D4E"/>
    <w:rsid w:val="38EB0F3E"/>
    <w:rsid w:val="393E405E"/>
    <w:rsid w:val="40262817"/>
    <w:rsid w:val="52193EB6"/>
    <w:rsid w:val="52FB3200"/>
    <w:rsid w:val="53E60CF1"/>
    <w:rsid w:val="540137E6"/>
    <w:rsid w:val="57767B14"/>
    <w:rsid w:val="59E6664E"/>
    <w:rsid w:val="60E34E2E"/>
    <w:rsid w:val="62052DB0"/>
    <w:rsid w:val="639210F8"/>
    <w:rsid w:val="683B7AD5"/>
    <w:rsid w:val="6E1F5182"/>
    <w:rsid w:val="73016438"/>
    <w:rsid w:val="78143B0B"/>
    <w:rsid w:val="78FB0DC0"/>
    <w:rsid w:val="7CC62C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S135.TIF" TargetMode="External"/><Relationship Id="rId7" Type="http://schemas.openxmlformats.org/officeDocument/2006/relationships/image" Target="media/image2.png"/><Relationship Id="rId6" Type="http://schemas.openxmlformats.org/officeDocument/2006/relationships/image" Target="S134.TIF" TargetMode="Externa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BX3-120&#38660;.TIF" TargetMode="External"/><Relationship Id="rId15" Type="http://schemas.openxmlformats.org/officeDocument/2006/relationships/image" Target="media/image6.png"/><Relationship Id="rId14" Type="http://schemas.openxmlformats.org/officeDocument/2006/relationships/image" Target="BX3-119&#38660;.TIF" TargetMode="External"/><Relationship Id="rId13" Type="http://schemas.openxmlformats.org/officeDocument/2006/relationships/image" Target="media/image5.png"/><Relationship Id="rId12" Type="http://schemas.openxmlformats.org/officeDocument/2006/relationships/image" Target="X140&#26472;.TIF" TargetMode="External"/><Relationship Id="rId11" Type="http://schemas.openxmlformats.org/officeDocument/2006/relationships/image" Target="media/image4.png"/><Relationship Id="rId10" Type="http://schemas.openxmlformats.org/officeDocument/2006/relationships/image" Target="S139.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4407</Words>
  <Characters>4668</Characters>
  <Lines>0</Lines>
  <Paragraphs>0</Paragraphs>
  <TotalTime>1</TotalTime>
  <ScaleCrop>false</ScaleCrop>
  <LinksUpToDate>false</LinksUpToDate>
  <CharactersWithSpaces>5169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2023-05-11T14:20:03Z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13CE44DCBA1F4CBD88DB658BA648F56E</vt:lpwstr>
  </property>
</Properties>
</file>