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w:t>
      </w:r>
      <w:r>
        <w:rPr>
          <w:rFonts w:hint="eastAsia" w:ascii="黑体" w:hAnsi="黑体" w:eastAsia="黑体" w:cs="黑体"/>
          <w:b/>
          <w:bCs/>
          <w:sz w:val="28"/>
          <w:szCs w:val="28"/>
          <w:u w:val="none"/>
          <w:lang w:eastAsia="zh-CN"/>
        </w:rPr>
        <w:t>合格考</w:t>
      </w:r>
      <w:r>
        <w:rPr>
          <w:rFonts w:hint="eastAsia" w:ascii="黑体" w:hAnsi="黑体" w:eastAsia="黑体" w:cs="黑体"/>
          <w:b/>
          <w:bCs/>
          <w:sz w:val="28"/>
          <w:szCs w:val="28"/>
          <w:u w:val="none"/>
        </w:rPr>
        <w:t>导学案</w:t>
      </w:r>
    </w:p>
    <w:p>
      <w:pPr>
        <w:autoSpaceDE w:val="0"/>
        <w:autoSpaceDN w:val="0"/>
        <w:jc w:val="center"/>
        <w:rPr>
          <w:rFonts w:hint="eastAsia" w:ascii="黑体" w:hAnsi="黑体" w:eastAsia="黑体" w:cs="黑体"/>
          <w:b/>
          <w:kern w:val="0"/>
          <w:sz w:val="28"/>
          <w:szCs w:val="28"/>
          <w:lang w:val="en-US" w:eastAsia="zh-CN" w:bidi="zh-CN"/>
        </w:rPr>
      </w:pPr>
      <w:r>
        <w:rPr>
          <w:rFonts w:hint="eastAsia" w:ascii="黑体" w:hAnsi="黑体" w:eastAsia="黑体" w:cs="黑体"/>
          <w:b/>
          <w:kern w:val="0"/>
          <w:sz w:val="28"/>
          <w:szCs w:val="28"/>
          <w:lang w:val="en-US" w:bidi="zh-CN"/>
        </w:rPr>
        <w:t>综合复习四</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年2月22日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w:t>
      </w:r>
      <w:r>
        <w:rPr>
          <w:rFonts w:hint="eastAsia" w:ascii="宋体" w:hAnsi="宋体" w:eastAsia="宋体" w:cs="宋体"/>
          <w:b/>
          <w:sz w:val="21"/>
          <w:szCs w:val="21"/>
          <w:lang w:eastAsia="zh-CN"/>
        </w:rPr>
        <w:t>必修二核心知识点提纲</w:t>
      </w:r>
      <w:r>
        <w:rPr>
          <w:rFonts w:hint="eastAsia" w:ascii="宋体" w:hAnsi="宋体" w:eastAsia="宋体" w:cs="宋体"/>
          <w:b/>
          <w:sz w:val="21"/>
          <w:szCs w:val="21"/>
        </w:rPr>
        <w:t>】</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1.乡村功能区特点及分布位置</w:t>
      </w:r>
    </w:p>
    <w:tbl>
      <w:tblPr>
        <w:tblStyle w:val="8"/>
        <w:tblpPr w:leftFromText="180" w:rightFromText="180" w:vertAnchor="text" w:horzAnchor="page" w:tblpX="1066" w:tblpY="49"/>
        <w:tblOverlap w:val="never"/>
        <w:tblW w:w="499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007"/>
        <w:gridCol w:w="2881"/>
        <w:gridCol w:w="3105"/>
        <w:gridCol w:w="19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63"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功能区</w:t>
            </w:r>
          </w:p>
        </w:tc>
        <w:tc>
          <w:tcPr>
            <w:tcW w:w="1610"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概念</w:t>
            </w:r>
          </w:p>
        </w:tc>
        <w:tc>
          <w:tcPr>
            <w:tcW w:w="1735"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特点</w:t>
            </w:r>
          </w:p>
        </w:tc>
        <w:tc>
          <w:tcPr>
            <w:tcW w:w="1089"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分布位置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1" w:hRule="atLeast"/>
        </w:trPr>
        <w:tc>
          <w:tcPr>
            <w:tcW w:w="563"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公共用地区</w:t>
            </w:r>
          </w:p>
        </w:tc>
        <w:tc>
          <w:tcPr>
            <w:tcW w:w="1610"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村民进行各种活动和交流的场所，具有公共性、文化性、多样性的特征。</w:t>
            </w:r>
          </w:p>
        </w:tc>
        <w:tc>
          <w:tcPr>
            <w:tcW w:w="1735"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规模相对较小</w:t>
            </w:r>
          </w:p>
        </w:tc>
        <w:tc>
          <w:tcPr>
            <w:tcW w:w="1089"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常分布在乡村中心，距村民居住区相对较近，道路的通达度较高。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trPr>
        <w:tc>
          <w:tcPr>
            <w:tcW w:w="563"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居住区</w:t>
            </w:r>
          </w:p>
        </w:tc>
        <w:tc>
          <w:tcPr>
            <w:tcW w:w="1610"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村民日常居住的地方。</w:t>
            </w:r>
          </w:p>
        </w:tc>
        <w:tc>
          <w:tcPr>
            <w:tcW w:w="1735"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规模较小，点缀于农业生产区间</w:t>
            </w:r>
          </w:p>
        </w:tc>
        <w:tc>
          <w:tcPr>
            <w:tcW w:w="1089"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一般分布在公共空间与生产区之间。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563"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农业生产区</w:t>
            </w:r>
          </w:p>
        </w:tc>
        <w:tc>
          <w:tcPr>
            <w:tcW w:w="1610"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农业生产直接或间接利用的土地。</w:t>
            </w:r>
          </w:p>
        </w:tc>
        <w:tc>
          <w:tcPr>
            <w:tcW w:w="1735"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规模较大，几乎遍布整个乡村</w:t>
            </w:r>
          </w:p>
        </w:tc>
        <w:tc>
          <w:tcPr>
            <w:tcW w:w="1089" w:type="pct"/>
            <w:tcBorders>
              <w:tl2br w:val="nil"/>
              <w:tr2bl w:val="nil"/>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一般分布在乡村最外围。</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2.乡村内部空间结构的变化（广州市南沙区大稳村为例）</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（1）变化：以道路为空间骨架，功能分化明显，居住区由分散到集中</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（2）原因：产业结构的调整；经济的发展生态环境优化；交通等公共服务基础设施的完善</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3.乡村内部空间结构的合理规划措施</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从实际出发，使乡村性质和建设的规模、速度和标准，同经济发展和农民生活水平相适应（2）合理、节约用地改造和提高乡村传统产业，引导第三产业健康发展，取得良好的经济效益和社会效益（3）注重生态环境的保护和改善，改善环境卫生条件（4）注重对自然遗产和历史文化遗产的保护，弘扬地方和民族传统文化特色</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（5）逐步完善公共服务基础设施的建设</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4.合理规划和利用乡村空间的意义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是建设社会主义新农村的重要任务（2）有利于合理利用土地资源（3）为居民生活提供便利（4）提高人们的经济收入和幸福感（5）体现社会公正（6）有利于保护和改善乡村生态环境（7）既保护传统文化又孕育新文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5.城市功能分区的特点</w:t>
      </w:r>
    </w:p>
    <w:tbl>
      <w:tblPr>
        <w:tblStyle w:val="8"/>
        <w:tblW w:w="4998" w:type="pct"/>
        <w:jc w:val="center"/>
        <w:tblLayout w:type="autofit"/>
        <w:tblCellMar>
          <w:top w:w="0" w:type="dxa"/>
          <w:left w:w="0" w:type="dxa"/>
          <w:bottom w:w="0" w:type="dxa"/>
          <w:right w:w="0" w:type="dxa"/>
        </w:tblCellMar>
      </w:tblPr>
      <w:tblGrid>
        <w:gridCol w:w="989"/>
        <w:gridCol w:w="1311"/>
        <w:gridCol w:w="2229"/>
        <w:gridCol w:w="828"/>
        <w:gridCol w:w="1443"/>
        <w:gridCol w:w="2215"/>
      </w:tblGrid>
      <w:tr>
        <w:tblPrEx>
          <w:tblCellMar>
            <w:top w:w="0" w:type="dxa"/>
            <w:left w:w="0" w:type="dxa"/>
            <w:bottom w:w="0" w:type="dxa"/>
            <w:right w:w="0" w:type="dxa"/>
          </w:tblCellMar>
        </w:tblPrEx>
        <w:trPr>
          <w:trHeight w:val="716" w:hRule="atLeast"/>
          <w:jc w:val="center"/>
        </w:trPr>
        <w:tc>
          <w:tcPr>
            <w:tcW w:w="54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城市功</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能区</w:t>
            </w:r>
          </w:p>
        </w:tc>
        <w:tc>
          <w:tcPr>
            <w:tcW w:w="727"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形态</w:t>
            </w:r>
          </w:p>
        </w:tc>
        <w:tc>
          <w:tcPr>
            <w:tcW w:w="1236"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特征</w:t>
            </w:r>
          </w:p>
        </w:tc>
        <w:tc>
          <w:tcPr>
            <w:tcW w:w="1258" w:type="pct"/>
            <w:gridSpan w:val="2"/>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位置</w:t>
            </w:r>
          </w:p>
        </w:tc>
        <w:tc>
          <w:tcPr>
            <w:tcW w:w="122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区位需求</w:t>
            </w:r>
          </w:p>
        </w:tc>
      </w:tr>
      <w:tr>
        <w:tblPrEx>
          <w:tblCellMar>
            <w:top w:w="0" w:type="dxa"/>
            <w:left w:w="0" w:type="dxa"/>
            <w:bottom w:w="0" w:type="dxa"/>
            <w:right w:w="0" w:type="dxa"/>
          </w:tblCellMar>
        </w:tblPrEx>
        <w:trPr>
          <w:trHeight w:val="970" w:hRule="atLeast"/>
          <w:jc w:val="center"/>
        </w:trPr>
        <w:tc>
          <w:tcPr>
            <w:tcW w:w="549" w:type="pct"/>
            <w:vMerge w:val="restar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住宅区</w:t>
            </w:r>
          </w:p>
        </w:tc>
        <w:tc>
          <w:tcPr>
            <w:tcW w:w="727" w:type="pct"/>
            <w:vMerge w:val="restar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集聚成团块状，占地面积大，是城市最基本功能区，工业革命后出现分化</w:t>
            </w:r>
          </w:p>
        </w:tc>
        <w:tc>
          <w:tcPr>
            <w:tcW w:w="1236" w:type="pct"/>
            <w:vMerge w:val="restar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出现中高级住宅区与低级住宅区；位置上中高级住宅区与低级住宅区背向发展</w:t>
            </w:r>
          </w:p>
        </w:tc>
        <w:tc>
          <w:tcPr>
            <w:tcW w:w="45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中高级住宅区</w:t>
            </w:r>
          </w:p>
        </w:tc>
        <w:tc>
          <w:tcPr>
            <w:tcW w:w="79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城市的外缘，与高坡、文化区联系</w:t>
            </w:r>
          </w:p>
        </w:tc>
        <w:tc>
          <w:tcPr>
            <w:tcW w:w="1228" w:type="pct"/>
            <w:vMerge w:val="restar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①购物方便</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②便于上下班</w:t>
            </w:r>
          </w:p>
        </w:tc>
      </w:tr>
      <w:tr>
        <w:tblPrEx>
          <w:tblCellMar>
            <w:top w:w="0" w:type="dxa"/>
            <w:left w:w="0" w:type="dxa"/>
            <w:bottom w:w="0" w:type="dxa"/>
            <w:right w:w="0" w:type="dxa"/>
          </w:tblCellMar>
        </w:tblPrEx>
        <w:trPr>
          <w:trHeight w:val="1091" w:hRule="atLeast"/>
          <w:jc w:val="center"/>
        </w:trPr>
        <w:tc>
          <w:tcPr>
            <w:tcW w:w="549" w:type="pct"/>
            <w:vMerge w:val="continue"/>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p>
        </w:tc>
        <w:tc>
          <w:tcPr>
            <w:tcW w:w="727" w:type="pct"/>
            <w:vMerge w:val="continue"/>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p>
        </w:tc>
        <w:tc>
          <w:tcPr>
            <w:tcW w:w="1236" w:type="pct"/>
            <w:vMerge w:val="continue"/>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p>
        </w:tc>
        <w:tc>
          <w:tcPr>
            <w:tcW w:w="45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低级住宅区</w:t>
            </w:r>
          </w:p>
        </w:tc>
        <w:tc>
          <w:tcPr>
            <w:tcW w:w="79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内城、工业区附近，与低地、工业区联系</w:t>
            </w:r>
          </w:p>
        </w:tc>
        <w:tc>
          <w:tcPr>
            <w:tcW w:w="1228" w:type="pct"/>
            <w:vMerge w:val="continue"/>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p>
        </w:tc>
      </w:tr>
      <w:tr>
        <w:tblPrEx>
          <w:tblCellMar>
            <w:top w:w="0" w:type="dxa"/>
            <w:left w:w="0" w:type="dxa"/>
            <w:bottom w:w="0" w:type="dxa"/>
            <w:right w:w="0" w:type="dxa"/>
          </w:tblCellMar>
        </w:tblPrEx>
        <w:trPr>
          <w:trHeight w:val="1313" w:hRule="atLeast"/>
          <w:jc w:val="center"/>
        </w:trPr>
        <w:tc>
          <w:tcPr>
            <w:tcW w:w="54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商业区</w:t>
            </w:r>
          </w:p>
        </w:tc>
        <w:tc>
          <w:tcPr>
            <w:tcW w:w="727"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占地面积小，呈点状或条状</w:t>
            </w:r>
          </w:p>
        </w:tc>
        <w:tc>
          <w:tcPr>
            <w:tcW w:w="1236"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经济活动最为繁忙；</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人口数量昼夜差别大；建筑物高大稠密；内部有明显的分区</w:t>
            </w:r>
          </w:p>
        </w:tc>
        <w:tc>
          <w:tcPr>
            <w:tcW w:w="1258" w:type="pct"/>
            <w:gridSpan w:val="2"/>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市中心、交通干线两侧、街角路口</w:t>
            </w:r>
          </w:p>
        </w:tc>
        <w:tc>
          <w:tcPr>
            <w:tcW w:w="122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①交通便捷(交通最优原则)</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②接近消费人群(市场最优原则)</w:t>
            </w:r>
          </w:p>
        </w:tc>
      </w:tr>
      <w:tr>
        <w:tblPrEx>
          <w:tblCellMar>
            <w:top w:w="0" w:type="dxa"/>
            <w:left w:w="0" w:type="dxa"/>
            <w:bottom w:w="0" w:type="dxa"/>
            <w:right w:w="0" w:type="dxa"/>
          </w:tblCellMar>
        </w:tblPrEx>
        <w:trPr>
          <w:trHeight w:val="1390" w:hRule="atLeast"/>
          <w:jc w:val="center"/>
        </w:trPr>
        <w:tc>
          <w:tcPr>
            <w:tcW w:w="54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工业区</w:t>
            </w:r>
          </w:p>
        </w:tc>
        <w:tc>
          <w:tcPr>
            <w:tcW w:w="727"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集聚成片</w:t>
            </w:r>
          </w:p>
        </w:tc>
        <w:tc>
          <w:tcPr>
            <w:tcW w:w="1236"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不断向市区外缘移动，并趋向于沿主要交通干线分布</w:t>
            </w:r>
          </w:p>
        </w:tc>
        <w:tc>
          <w:tcPr>
            <w:tcW w:w="1258" w:type="pct"/>
            <w:gridSpan w:val="2"/>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市区外缘、交通干线两侧</w:t>
            </w:r>
          </w:p>
        </w:tc>
        <w:tc>
          <w:tcPr>
            <w:tcW w:w="122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①降低生产成本(低价)</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②保护城市环境</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③原料、产品运输需求</w:t>
            </w:r>
          </w:p>
        </w:tc>
      </w:tr>
      <w:tr>
        <w:tblPrEx>
          <w:tblCellMar>
            <w:top w:w="0" w:type="dxa"/>
            <w:left w:w="0" w:type="dxa"/>
            <w:bottom w:w="0" w:type="dxa"/>
            <w:right w:w="0" w:type="dxa"/>
          </w:tblCellMar>
        </w:tblPrEx>
        <w:trPr>
          <w:trHeight w:val="870" w:hRule="atLeast"/>
          <w:jc w:val="center"/>
        </w:trPr>
        <w:tc>
          <w:tcPr>
            <w:tcW w:w="54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生态区</w:t>
            </w:r>
          </w:p>
        </w:tc>
        <w:tc>
          <w:tcPr>
            <w:tcW w:w="3222" w:type="pct"/>
            <w:gridSpan w:val="4"/>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是城市具有特定生态环境、发挥特定生态功能的区域，主要包括休憩用地、绿化地带和特定生态保护地等。</w:t>
            </w:r>
          </w:p>
        </w:tc>
        <w:tc>
          <w:tcPr>
            <w:tcW w:w="122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一般不受付租能力、市场等经济因素的约束。</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6.“六看法”判断城市三大功能区</w:t>
      </w: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7.中心商务区（CBD) （central business district)</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组成：市区最繁忙的街区及街道</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分布：大城市中心</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特点：1、建筑密度最高，最豪华，地价最高。 2、是城市经济活动最繁忙的地方，最具吸引力。 3、交通通达性最强。4、人口流量昼夜差别很大。5、内部有着明显的功能分区。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功能：以金融、贸易为主，是集银行和跨国公司总部、大公司办公机构、大型商场与购物中心，以及旅游、住宿、娱乐服务设施等于一体的功能区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8.影响城市功能区的因素</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(1)经济因素对城市功能区的影响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①距市中心的远近对城市功能区的影响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②交通通达度对城市功能区的影响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交通通达度越高，土地价格或地租越高。城市不同区位土地的交通通达度不同，地租高低也就相应地存在着差异，因而形成不同的功能区。</w:t>
      </w: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drawing>
          <wp:inline distT="0" distB="0" distL="114300" distR="114300">
            <wp:extent cx="3655695" cy="1344295"/>
            <wp:effectExtent l="0" t="0" r="190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3655695" cy="1344295"/>
                    </a:xfrm>
                    <a:prstGeom prst="rect">
                      <a:avLst/>
                    </a:prstGeom>
                    <a:noFill/>
                    <a:ln>
                      <a:noFill/>
                    </a:ln>
                  </pic:spPr>
                </pic:pic>
              </a:graphicData>
            </a:graphic>
          </wp:inline>
        </w:drawing>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(2)其他因素对城市功能区的影响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drawing>
          <wp:inline distT="0" distB="0" distL="114300" distR="114300">
            <wp:extent cx="4127500" cy="1163320"/>
            <wp:effectExtent l="0" t="0" r="6350"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4127500" cy="1163320"/>
                    </a:xfrm>
                    <a:prstGeom prst="rect">
                      <a:avLst/>
                    </a:prstGeom>
                    <a:noFill/>
                    <a:ln>
                      <a:noFill/>
                    </a:ln>
                  </pic:spPr>
                </pic:pic>
              </a:graphicData>
            </a:graphic>
          </wp:inline>
        </w:drawing>
      </w: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9.城市功能区的布局</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(1)住宅区的布局要求：高级住宅区的布局一般考虑“上风(上风向)、上水(河流上游)、上高坡(地势较高处)、近文教区、环境优美”，低级住宅区一般靠近工业区，便于工人上下班等。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工业区的布局要求：便利的交通；合理安排工业用地的位置，以减少对居住区的污染；基本无污染的工业可布局在市区内，有污染的工业应远离城市，有大气污染的企业应布局在盛行风的下风向、季风区垂直郊外、最小风频的上风带，有水体污染的企业应布局在河流的下游区；在工业区与生活居住区间设置防护带；留有发展余地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(3)商业区的布局要求：</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市场最优原则：靠近城市几何中心</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交通最优原则：市区边缘环路或高速公路出入口处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10.常见功能区的案例</w:t>
      </w:r>
    </w:p>
    <w:tbl>
      <w:tblPr>
        <w:tblStyle w:val="8"/>
        <w:tblW w:w="4998" w:type="pct"/>
        <w:tblInd w:w="0" w:type="dxa"/>
        <w:tblLayout w:type="autofit"/>
        <w:tblCellMar>
          <w:top w:w="0" w:type="dxa"/>
          <w:left w:w="0" w:type="dxa"/>
          <w:bottom w:w="0" w:type="dxa"/>
          <w:right w:w="0" w:type="dxa"/>
        </w:tblCellMar>
      </w:tblPr>
      <w:tblGrid>
        <w:gridCol w:w="3565"/>
        <w:gridCol w:w="2517"/>
        <w:gridCol w:w="2861"/>
      </w:tblGrid>
      <w:tr>
        <w:tblPrEx>
          <w:tblCellMar>
            <w:top w:w="0" w:type="dxa"/>
            <w:left w:w="0" w:type="dxa"/>
            <w:bottom w:w="0" w:type="dxa"/>
            <w:right w:w="0" w:type="dxa"/>
          </w:tblCellMar>
        </w:tblPrEx>
        <w:trPr>
          <w:trHeight w:val="424" w:hRule="atLeast"/>
        </w:trPr>
        <w:tc>
          <w:tcPr>
            <w:tcW w:w="1993"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一般布局原则</w:t>
            </w:r>
          </w:p>
        </w:tc>
        <w:tc>
          <w:tcPr>
            <w:tcW w:w="140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具体要求或污染类型</w:t>
            </w:r>
          </w:p>
        </w:tc>
        <w:tc>
          <w:tcPr>
            <w:tcW w:w="1599"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举例</w:t>
            </w:r>
          </w:p>
        </w:tc>
      </w:tr>
      <w:tr>
        <w:tblPrEx>
          <w:tblCellMar>
            <w:top w:w="0" w:type="dxa"/>
            <w:left w:w="0" w:type="dxa"/>
            <w:bottom w:w="0" w:type="dxa"/>
            <w:right w:w="0" w:type="dxa"/>
          </w:tblCellMar>
        </w:tblPrEx>
        <w:trPr>
          <w:trHeight w:val="90" w:hRule="atLeast"/>
        </w:trPr>
        <w:tc>
          <w:tcPr>
            <w:tcW w:w="1993"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布局在远离居民区的下风地带，尽可能接近原料、燃料产地</w:t>
            </w:r>
          </w:p>
        </w:tc>
        <w:tc>
          <w:tcPr>
            <w:tcW w:w="140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垃圾污染、大气污染</w:t>
            </w:r>
          </w:p>
        </w:tc>
        <w:tc>
          <w:tcPr>
            <w:tcW w:w="1599"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钢铁厂、发电厂、水泥厂</w:t>
            </w:r>
          </w:p>
        </w:tc>
      </w:tr>
      <w:tr>
        <w:tblPrEx>
          <w:tblCellMar>
            <w:top w:w="0" w:type="dxa"/>
            <w:left w:w="0" w:type="dxa"/>
            <w:bottom w:w="0" w:type="dxa"/>
            <w:right w:w="0" w:type="dxa"/>
          </w:tblCellMar>
        </w:tblPrEx>
        <w:trPr>
          <w:trHeight w:val="544" w:hRule="atLeast"/>
        </w:trPr>
        <w:tc>
          <w:tcPr>
            <w:tcW w:w="1993"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布局在远离居民区的河流下游</w:t>
            </w:r>
          </w:p>
        </w:tc>
        <w:tc>
          <w:tcPr>
            <w:tcW w:w="140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水污染</w:t>
            </w:r>
          </w:p>
        </w:tc>
        <w:tc>
          <w:tcPr>
            <w:tcW w:w="1599"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印染厂、造纸厂、电镀厂</w:t>
            </w:r>
          </w:p>
        </w:tc>
      </w:tr>
      <w:tr>
        <w:tblPrEx>
          <w:tblCellMar>
            <w:top w:w="0" w:type="dxa"/>
            <w:left w:w="0" w:type="dxa"/>
            <w:bottom w:w="0" w:type="dxa"/>
            <w:right w:w="0" w:type="dxa"/>
          </w:tblCellMar>
        </w:tblPrEx>
        <w:trPr>
          <w:trHeight w:val="559" w:hRule="atLeast"/>
        </w:trPr>
        <w:tc>
          <w:tcPr>
            <w:tcW w:w="1993"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布局在城区和近郊交通便利地区</w:t>
            </w:r>
          </w:p>
        </w:tc>
        <w:tc>
          <w:tcPr>
            <w:tcW w:w="140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噪声污染</w:t>
            </w:r>
          </w:p>
        </w:tc>
        <w:tc>
          <w:tcPr>
            <w:tcW w:w="1599"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纺织厂、仪表厂、机床厂</w:t>
            </w:r>
          </w:p>
        </w:tc>
      </w:tr>
      <w:tr>
        <w:tblPrEx>
          <w:tblCellMar>
            <w:top w:w="0" w:type="dxa"/>
            <w:left w:w="0" w:type="dxa"/>
            <w:bottom w:w="0" w:type="dxa"/>
            <w:right w:w="0" w:type="dxa"/>
          </w:tblCellMar>
        </w:tblPrEx>
        <w:trPr>
          <w:trHeight w:val="394" w:hRule="atLeast"/>
        </w:trPr>
        <w:tc>
          <w:tcPr>
            <w:tcW w:w="1993"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布局在河流上游</w:t>
            </w:r>
          </w:p>
        </w:tc>
        <w:tc>
          <w:tcPr>
            <w:tcW w:w="140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要求水源清洁</w:t>
            </w:r>
          </w:p>
        </w:tc>
        <w:tc>
          <w:tcPr>
            <w:tcW w:w="1599"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自来水厂</w:t>
            </w:r>
          </w:p>
        </w:tc>
      </w:tr>
      <w:tr>
        <w:tblPrEx>
          <w:tblCellMar>
            <w:top w:w="0" w:type="dxa"/>
            <w:left w:w="0" w:type="dxa"/>
            <w:bottom w:w="0" w:type="dxa"/>
            <w:right w:w="0" w:type="dxa"/>
          </w:tblCellMar>
        </w:tblPrEx>
        <w:trPr>
          <w:trHeight w:val="484" w:hRule="atLeast"/>
        </w:trPr>
        <w:tc>
          <w:tcPr>
            <w:tcW w:w="1993"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布局在高等院校和科研机构附近</w:t>
            </w:r>
          </w:p>
        </w:tc>
        <w:tc>
          <w:tcPr>
            <w:tcW w:w="140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需要高科技人才</w:t>
            </w:r>
          </w:p>
        </w:tc>
        <w:tc>
          <w:tcPr>
            <w:tcW w:w="1599"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高新技术开发区</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11.城市空间结构模式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a.同心圆模式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城市各功能区经过不断侵入和迁移；呈同心圆状自核心向外扩展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b.扇形模式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在小汽车等交通工具的影响下，城市各功能区出现沿着交通线呈扇形或楔形向外扩展的趋势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C.多核心模式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随着城市不断向外扩展，范围越来越大，原有市中心区由于地价高、交通和居住拥挤等原因，使得远离中心的郊区也出现了新的核心，城市围绕不同的点，发展形成 </w:t>
      </w: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11.案例：深圳蛇口城乡内部空间结构的变化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20世纪90年代，蛇口工业用地迅速扩张；21世纪后，工业区向外迁移。原因主要有两点：一是随着城市的发展，该地地租水平上升，工业区付租能力不及商业区付租能力；二是位于市区中心部位的工业区会造成环境污染。</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地域文化与城乡景观</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12.地域文化的主要特点</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①区域性；②多样性；③独特性；④相对稳定性</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13.地域文化对城镇的影响</w:t>
      </w:r>
    </w:p>
    <w:tbl>
      <w:tblPr>
        <w:tblStyle w:val="8"/>
        <w:tblW w:w="4998" w:type="pct"/>
        <w:tblInd w:w="0" w:type="dxa"/>
        <w:tblLayout w:type="autofit"/>
        <w:tblCellMar>
          <w:top w:w="0" w:type="dxa"/>
          <w:left w:w="0" w:type="dxa"/>
          <w:bottom w:w="0" w:type="dxa"/>
          <w:right w:w="0" w:type="dxa"/>
        </w:tblCellMar>
      </w:tblPr>
      <w:tblGrid>
        <w:gridCol w:w="478"/>
        <w:gridCol w:w="680"/>
        <w:gridCol w:w="3865"/>
        <w:gridCol w:w="3394"/>
        <w:gridCol w:w="526"/>
      </w:tblGrid>
      <w:tr>
        <w:tblPrEx>
          <w:tblCellMar>
            <w:top w:w="0" w:type="dxa"/>
            <w:left w:w="0" w:type="dxa"/>
            <w:bottom w:w="0" w:type="dxa"/>
            <w:right w:w="0" w:type="dxa"/>
          </w:tblCellMar>
        </w:tblPrEx>
        <w:trPr>
          <w:trHeight w:val="289" w:hRule="atLeast"/>
        </w:trPr>
        <w:tc>
          <w:tcPr>
            <w:tcW w:w="647" w:type="pct"/>
            <w:gridSpan w:val="2"/>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城镇建筑</w:t>
            </w:r>
          </w:p>
        </w:tc>
        <w:tc>
          <w:tcPr>
            <w:tcW w:w="216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表现</w:t>
            </w:r>
          </w:p>
        </w:tc>
        <w:tc>
          <w:tcPr>
            <w:tcW w:w="2191" w:type="pct"/>
            <w:gridSpan w:val="2"/>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原因</w:t>
            </w:r>
          </w:p>
        </w:tc>
      </w:tr>
      <w:tr>
        <w:tblPrEx>
          <w:tblCellMar>
            <w:top w:w="0" w:type="dxa"/>
            <w:left w:w="0" w:type="dxa"/>
            <w:bottom w:w="0" w:type="dxa"/>
            <w:right w:w="0" w:type="dxa"/>
          </w:tblCellMar>
        </w:tblPrEx>
        <w:trPr>
          <w:trHeight w:val="1402" w:hRule="atLeast"/>
        </w:trPr>
        <w:tc>
          <w:tcPr>
            <w:tcW w:w="267" w:type="pct"/>
            <w:vMerge w:val="restar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建筑布局</w:t>
            </w:r>
          </w:p>
        </w:tc>
        <w:tc>
          <w:tcPr>
            <w:tcW w:w="38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美国城镇</w:t>
            </w:r>
          </w:p>
        </w:tc>
        <w:tc>
          <w:tcPr>
            <w:tcW w:w="216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城镇中心多是高层的摩天大楼，离开中心区，建筑高度急剧下降，然后又缓缓地向郊区递减</w:t>
            </w:r>
          </w:p>
        </w:tc>
        <w:tc>
          <w:tcPr>
            <w:tcW w:w="189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美国历史较短，早期移民大部分来自欧洲，沿袭了欧洲自由主义精神的传统，在后来的发展中形成了有别于欧洲的现代文化特征</w:t>
            </w:r>
          </w:p>
        </w:tc>
        <w:tc>
          <w:tcPr>
            <w:tcW w:w="294" w:type="pct"/>
            <w:vMerge w:val="restar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发展历史不同</w:t>
            </w:r>
          </w:p>
        </w:tc>
      </w:tr>
      <w:tr>
        <w:tblPrEx>
          <w:tblCellMar>
            <w:top w:w="0" w:type="dxa"/>
            <w:left w:w="0" w:type="dxa"/>
            <w:bottom w:w="0" w:type="dxa"/>
            <w:right w:w="0" w:type="dxa"/>
          </w:tblCellMar>
        </w:tblPrEx>
        <w:trPr>
          <w:trHeight w:val="1246" w:hRule="atLeast"/>
        </w:trPr>
        <w:tc>
          <w:tcPr>
            <w:tcW w:w="267" w:type="pct"/>
            <w:vMerge w:val="continue"/>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p>
        </w:tc>
        <w:tc>
          <w:tcPr>
            <w:tcW w:w="38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欧洲城镇</w:t>
            </w:r>
          </w:p>
        </w:tc>
        <w:tc>
          <w:tcPr>
            <w:tcW w:w="216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城镇中心有市民集会的广场、大教堂以及工商组合的事务所，有许多著名历史建筑，高层建筑大都建在城镇中心区以外的地区</w:t>
            </w:r>
          </w:p>
        </w:tc>
        <w:tc>
          <w:tcPr>
            <w:tcW w:w="189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欧洲发展历史悠久，城市中多著名建筑，人们不愿意让现代化建筑夺去其历史建筑的风采</w:t>
            </w:r>
          </w:p>
        </w:tc>
        <w:tc>
          <w:tcPr>
            <w:tcW w:w="294" w:type="pct"/>
            <w:vMerge w:val="continue"/>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p>
        </w:tc>
      </w:tr>
      <w:tr>
        <w:tblPrEx>
          <w:tblCellMar>
            <w:top w:w="0" w:type="dxa"/>
            <w:left w:w="0" w:type="dxa"/>
            <w:bottom w:w="0" w:type="dxa"/>
            <w:right w:w="0" w:type="dxa"/>
          </w:tblCellMar>
        </w:tblPrEx>
        <w:trPr>
          <w:trHeight w:val="642" w:hRule="atLeast"/>
        </w:trPr>
        <w:tc>
          <w:tcPr>
            <w:tcW w:w="267" w:type="pct"/>
            <w:vMerge w:val="continue"/>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p>
        </w:tc>
        <w:tc>
          <w:tcPr>
            <w:tcW w:w="38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中国城镇</w:t>
            </w:r>
          </w:p>
        </w:tc>
        <w:tc>
          <w:tcPr>
            <w:tcW w:w="2160"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宫城居城市中心位置，城市布局讲究中轴对称，道路多规划为棋盘格式</w:t>
            </w:r>
          </w:p>
        </w:tc>
        <w:tc>
          <w:tcPr>
            <w:tcW w:w="1897" w:type="pct"/>
            <w:tcBorders>
              <w:top w:val="single" w:color="080000" w:sz="8" w:space="0"/>
              <w:left w:val="single" w:color="080000" w:sz="8" w:space="0"/>
              <w:bottom w:val="single" w:color="080000" w:sz="8" w:space="0"/>
              <w:right w:val="single" w:color="080000" w:sz="8" w:space="0"/>
            </w:tcBorders>
            <w:noWrap w:val="0"/>
            <w:tcMar>
              <w:top w:w="15" w:type="dxa"/>
              <w:left w:w="108" w:type="dxa"/>
              <w:right w:w="108"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中国传统文化的影响</w:t>
            </w:r>
          </w:p>
        </w:tc>
        <w:tc>
          <w:tcPr>
            <w:tcW w:w="294" w:type="pct"/>
            <w:tcBorders>
              <w:top w:val="single" w:color="080000" w:sz="8" w:space="0"/>
              <w:left w:val="single" w:color="080000" w:sz="8" w:space="0"/>
              <w:bottom w:val="single" w:color="080000" w:sz="8" w:space="0"/>
              <w:right w:val="single" w:color="080000" w:sz="8" w:space="0"/>
            </w:tcBorders>
            <w:noWrap w:val="0"/>
            <w:tcMar>
              <w:top w:w="72" w:type="dxa"/>
              <w:left w:w="144" w:type="dxa"/>
              <w:bottom w:w="72" w:type="dxa"/>
              <w:right w:w="144" w:type="dxa"/>
            </w:tcMar>
            <w:vAlign w:val="top"/>
          </w:tcPr>
          <w:p>
            <w:pPr>
              <w:rPr>
                <w:rFonts w:hint="eastAsia" w:ascii="宋体" w:hAnsi="宋体" w:eastAsia="宋体" w:cs="宋体"/>
                <w:b w:val="0"/>
                <w:bCs/>
                <w:sz w:val="21"/>
                <w:szCs w:val="21"/>
                <w:lang w:val="en-US"/>
              </w:rPr>
            </w:pP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14.特色民居建筑—福建客家土楼</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分布位置：闽西山区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文化内涵：客家文化植根于古代中原地区传统汉族文化，在长期移民生活中适应了南方山区地理环境，并融合当地畲族、瑶族等少数民族文化，从而成为独树一帜的地域文化。客家文化主要包括闽西“围城式土楼”、粤东地区“国龙屋”民居建筑等历史文物遗迹，保留古汉语音韵和语词的客家方言文化教育，以及客家山歌等民间文化艺术。</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用途：防御盗匪打劫、抵御山中猛兽；防震、防火、采光好；墙体厚度大，隔热保温，冬暖夏凉。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15.根据民居建筑特点判断气候特征</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（1）根据墙体厚度判断冷暖及昼夜温差</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（2）根据屋顶坡度、房檐宽度判断降水量的多少</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（3）根据窗户大小判断风力、风向</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（4）根据房屋朝向判断气候特征</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（5）根据民居的用材判断气候特征</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城镇化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16.城镇化的主要表现</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农业人口转化为非农业人口（城镇人口增加）、农村地区转化为城镇地区（城镇建设用地增加）、农业活动转化为非农业活动的过程（产业结构变化）。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衡量城镇化水平的核心指标是“城镇化率”，即城镇人口占总人口的比例。</w:t>
      </w: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17.城镇化的三个阶段</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drawing>
          <wp:inline distT="0" distB="0" distL="114300" distR="114300">
            <wp:extent cx="3173095" cy="1774825"/>
            <wp:effectExtent l="0" t="0" r="825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173095" cy="1774825"/>
                    </a:xfrm>
                    <a:prstGeom prst="rect">
                      <a:avLst/>
                    </a:prstGeom>
                    <a:noFill/>
                    <a:ln>
                      <a:noFill/>
                    </a:ln>
                  </pic:spPr>
                </pic:pic>
              </a:graphicData>
            </a:graphic>
          </wp:inline>
        </w:drawing>
      </w:r>
    </w:p>
    <w:p>
      <w:pPr>
        <w:rPr>
          <w:rFonts w:hint="eastAsia" w:ascii="宋体" w:hAnsi="宋体" w:eastAsia="宋体" w:cs="宋体"/>
          <w:b w:val="0"/>
          <w:bCs/>
          <w:sz w:val="21"/>
          <w:szCs w:val="21"/>
          <w:lang w:val="en-US"/>
        </w:rPr>
      </w:pP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18.不同地区城镇化</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89"/>
        <w:gridCol w:w="1747"/>
        <w:gridCol w:w="1604"/>
        <w:gridCol w:w="1934"/>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1036"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p>
        </w:tc>
        <w:tc>
          <w:tcPr>
            <w:tcW w:w="958"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起步时间</w:t>
            </w:r>
          </w:p>
        </w:tc>
        <w:tc>
          <w:tcPr>
            <w:tcW w:w="880"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目前速度</w:t>
            </w:r>
          </w:p>
        </w:tc>
        <w:tc>
          <w:tcPr>
            <w:tcW w:w="1061"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城镇化水平</w:t>
            </w:r>
          </w:p>
        </w:tc>
        <w:tc>
          <w:tcPr>
            <w:tcW w:w="1062"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现象或问题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1036"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发达国家</w:t>
            </w:r>
          </w:p>
        </w:tc>
        <w:tc>
          <w:tcPr>
            <w:tcW w:w="958"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早</w:t>
            </w:r>
          </w:p>
        </w:tc>
        <w:tc>
          <w:tcPr>
            <w:tcW w:w="880"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慢</w:t>
            </w:r>
          </w:p>
        </w:tc>
        <w:tc>
          <w:tcPr>
            <w:tcW w:w="1061"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高＞70℅</w:t>
            </w:r>
          </w:p>
        </w:tc>
        <w:tc>
          <w:tcPr>
            <w:tcW w:w="1062"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逆城镇化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1036"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发展中国家</w:t>
            </w:r>
          </w:p>
        </w:tc>
        <w:tc>
          <w:tcPr>
            <w:tcW w:w="958"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晚(二战后)</w:t>
            </w:r>
          </w:p>
        </w:tc>
        <w:tc>
          <w:tcPr>
            <w:tcW w:w="880"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快</w:t>
            </w:r>
          </w:p>
        </w:tc>
        <w:tc>
          <w:tcPr>
            <w:tcW w:w="1061"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低</w:t>
            </w:r>
          </w:p>
        </w:tc>
        <w:tc>
          <w:tcPr>
            <w:tcW w:w="1062" w:type="pct"/>
            <w:noWrap w:val="0"/>
            <w:tcMar>
              <w:top w:w="72" w:type="dxa"/>
              <w:left w:w="192" w:type="dxa"/>
              <w:bottom w:w="72" w:type="dxa"/>
              <w:right w:w="192" w:type="dxa"/>
            </w:tcMar>
            <w:vAlign w:val="center"/>
          </w:tcPr>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郊区化或问题</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19.城市化、郊区城市化、逆城市化、再城市化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20.过度城镇化与滞后城镇化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过度城镇化：又称“超前城镇化”或“虚假城镇化”，是指城镇化水平超过本国工业化水平和经济发展速度的城镇化模式。以拉丁美洲一些国家最为突出，如巴西、委内瑞拉等。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滞后城镇化：是指城镇化水平落后于本国工业化水平和经济发展速度的城镇化模式。南亚的印度、孟加拉国等存在滞后城镇化问题。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21.城镇化的意义：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（1）有利于乡村剩余劳动力向第二、三产业转移；</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（2）有利于改善地区产业结构，带动区域经济发展；</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（3）有利于推动科技进步，提高区域整体发展水平；</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（4）有利于居民文化和思想观念的提高，促进城乡交流，缩小城乡发展差距。</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22.城镇化的问题：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资源问题：占用大量土地，导致耕地减少；用水量激增，造成水资源短缺等。（2）造成环境污染：大气污染、固体废弃物污染、噪声污染、水污染。（3）交通拥堵问题（4）社会问题：就业困难、贫困人口增加、住房紧张、房价过高、管理粗放、应急设施滞后、犯罪率上升等。（5）生态问题：生物多样性降低。</w:t>
      </w: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w:t>
      </w:r>
      <w:r>
        <w:rPr>
          <w:rFonts w:hint="eastAsia" w:ascii="黑体" w:hAnsi="宋体" w:eastAsia="黑体"/>
          <w:b/>
          <w:color w:val="auto"/>
          <w:sz w:val="28"/>
          <w:szCs w:val="28"/>
          <w:lang w:eastAsia="zh-CN"/>
        </w:rPr>
        <w:t>合格考</w:t>
      </w:r>
      <w:r>
        <w:rPr>
          <w:rFonts w:hint="eastAsia" w:ascii="黑体" w:hAnsi="宋体" w:eastAsia="黑体"/>
          <w:b/>
          <w:color w:val="auto"/>
          <w:sz w:val="28"/>
          <w:szCs w:val="28"/>
        </w:rPr>
        <w:t>作业</w:t>
      </w:r>
    </w:p>
    <w:p>
      <w:pPr>
        <w:keepNext w:val="0"/>
        <w:keepLines w:val="0"/>
        <w:pageBreakBefore w:val="0"/>
        <w:kinsoku/>
        <w:wordWrap/>
        <w:overflowPunct/>
        <w:topLinePunct w:val="0"/>
        <w:autoSpaceDE w:val="0"/>
        <w:autoSpaceDN w:val="0"/>
        <w:bidi w:val="0"/>
        <w:adjustRightInd/>
        <w:jc w:val="center"/>
        <w:textAlignment w:val="auto"/>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综合复习四</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2</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22</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4"/>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eastAsia="zh-CN"/>
        </w:rPr>
        <w:t>一、</w:t>
      </w:r>
      <w:r>
        <w:rPr>
          <w:rFonts w:hint="eastAsia" w:ascii="宋体" w:hAnsi="宋体" w:eastAsia="宋体" w:cs="宋体"/>
          <w:sz w:val="21"/>
          <w:szCs w:val="21"/>
        </w:rPr>
        <w:t>单项选择题</w:t>
      </w:r>
    </w:p>
    <w:p>
      <w:pPr>
        <w:spacing w:line="240" w:lineRule="auto"/>
        <w:ind w:firstLine="420"/>
        <w:jc w:val="left"/>
      </w:pPr>
      <w:r>
        <w:rPr>
          <w:rFonts w:ascii="楷体" w:hAnsi="楷体" w:eastAsia="楷体" w:cs="楷体"/>
          <w:color w:val="auto"/>
        </w:rPr>
        <w:t>2022年11月8日晚，备受期待的“红月亮”亮相夜空。红色月亮一般是发生月全食的时候，当月亮进入地球本影，只剩下红色光可以穿透过来，形成“红月亮”。图1为月全食示意图，图2为“红月亮”照片。据此完成下面小题。</w:t>
      </w:r>
    </w:p>
    <w:p>
      <w:pPr>
        <w:spacing w:line="240" w:lineRule="auto"/>
        <w:jc w:val="left"/>
      </w:pPr>
      <w:r>
        <w:drawing>
          <wp:inline distT="0" distB="0" distL="114300" distR="114300">
            <wp:extent cx="3781425" cy="16097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781425" cy="1609725"/>
                    </a:xfrm>
                    <a:prstGeom prst="rect">
                      <a:avLst/>
                    </a:prstGeom>
                  </pic:spPr>
                </pic:pic>
              </a:graphicData>
            </a:graphic>
          </wp:inline>
        </w:drawing>
      </w:r>
      <w:r>
        <w:drawing>
          <wp:inline distT="0" distB="0" distL="114300" distR="114300">
            <wp:extent cx="1468755" cy="1446530"/>
            <wp:effectExtent l="0" t="0" r="17145" b="127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468755" cy="1446530"/>
                    </a:xfrm>
                    <a:prstGeom prst="rect">
                      <a:avLst/>
                    </a:prstGeom>
                  </pic:spPr>
                </pic:pic>
              </a:graphicData>
            </a:graphic>
          </wp:inline>
        </w:drawing>
      </w:r>
    </w:p>
    <w:p>
      <w:pPr>
        <w:spacing w:line="240" w:lineRule="auto"/>
        <w:jc w:val="left"/>
        <w:textAlignment w:val="center"/>
        <w:rPr>
          <w:color w:val="auto"/>
        </w:rPr>
      </w:pPr>
      <w:r>
        <w:t xml:space="preserve">1. </w:t>
      </w:r>
      <w:r>
        <w:rPr>
          <w:rFonts w:ascii="宋体" w:hAnsi="宋体" w:eastAsia="宋体" w:cs="宋体"/>
          <w:color w:val="auto"/>
        </w:rPr>
        <w:t>“红月亮”所在天体系统级别最高的是（   ）</w:t>
      </w:r>
    </w:p>
    <w:p>
      <w:pPr>
        <w:tabs>
          <w:tab w:val="left" w:pos="2436"/>
          <w:tab w:val="left" w:pos="4873"/>
          <w:tab w:val="left" w:pos="7309"/>
        </w:tabs>
        <w:spacing w:line="240" w:lineRule="auto"/>
        <w:jc w:val="left"/>
        <w:textAlignment w:val="center"/>
        <w:rPr>
          <w:color w:val="auto"/>
        </w:rPr>
      </w:pPr>
      <w:r>
        <w:t xml:space="preserve">A. </w:t>
      </w:r>
      <w:r>
        <w:rPr>
          <w:rFonts w:ascii="宋体" w:hAnsi="宋体" w:eastAsia="宋体" w:cs="宋体"/>
          <w:color w:val="auto"/>
        </w:rPr>
        <w:t>地月系</w:t>
      </w:r>
      <w:r>
        <w:tab/>
      </w:r>
      <w:r>
        <w:t xml:space="preserve">B. </w:t>
      </w:r>
      <w:r>
        <w:rPr>
          <w:rFonts w:ascii="宋体" w:hAnsi="宋体" w:eastAsia="宋体" w:cs="宋体"/>
          <w:color w:val="auto"/>
        </w:rPr>
        <w:t>太阳系</w:t>
      </w:r>
      <w:r>
        <w:tab/>
      </w:r>
      <w:r>
        <w:t xml:space="preserve">C. </w:t>
      </w:r>
      <w:r>
        <w:rPr>
          <w:rFonts w:ascii="宋体" w:hAnsi="宋体" w:eastAsia="宋体" w:cs="宋体"/>
          <w:color w:val="auto"/>
        </w:rPr>
        <w:t>银河系</w:t>
      </w:r>
      <w:r>
        <w:tab/>
      </w:r>
      <w:r>
        <w:t xml:space="preserve">D. </w:t>
      </w:r>
      <w:r>
        <w:rPr>
          <w:rFonts w:ascii="宋体" w:hAnsi="宋体" w:eastAsia="宋体" w:cs="宋体"/>
          <w:color w:val="auto"/>
        </w:rPr>
        <w:t>总星系</w:t>
      </w:r>
    </w:p>
    <w:p>
      <w:pPr>
        <w:spacing w:line="240" w:lineRule="auto"/>
        <w:jc w:val="left"/>
        <w:textAlignment w:val="center"/>
        <w:rPr>
          <w:color w:val="auto"/>
        </w:rPr>
      </w:pPr>
      <w:r>
        <w:t xml:space="preserve">2. </w:t>
      </w:r>
      <w:r>
        <w:rPr>
          <w:rFonts w:ascii="宋体" w:hAnsi="宋体" w:eastAsia="宋体" w:cs="宋体"/>
          <w:color w:val="auto"/>
        </w:rPr>
        <w:t>下列与“红月亮”现象出现相关的是（   ）</w:t>
      </w:r>
    </w:p>
    <w:p>
      <w:pPr>
        <w:tabs>
          <w:tab w:val="left" w:pos="4873"/>
        </w:tabs>
        <w:spacing w:line="240" w:lineRule="auto"/>
        <w:jc w:val="left"/>
        <w:textAlignment w:val="center"/>
        <w:rPr>
          <w:color w:val="auto"/>
        </w:rPr>
      </w:pPr>
      <w:r>
        <w:t xml:space="preserve">A. </w:t>
      </w:r>
      <w:r>
        <w:rPr>
          <w:rFonts w:ascii="宋体" w:hAnsi="宋体" w:eastAsia="宋体" w:cs="宋体"/>
          <w:color w:val="auto"/>
        </w:rPr>
        <w:t>太阳耀斑的强烈爆发</w:t>
      </w:r>
      <w:r>
        <w:tab/>
      </w:r>
      <w:r>
        <w:t xml:space="preserve">B. </w:t>
      </w:r>
      <w:r>
        <w:rPr>
          <w:rFonts w:ascii="宋体" w:hAnsi="宋体" w:eastAsia="宋体" w:cs="宋体"/>
          <w:color w:val="auto"/>
        </w:rPr>
        <w:t>月球大气的削弱作用</w:t>
      </w:r>
    </w:p>
    <w:p>
      <w:pPr>
        <w:tabs>
          <w:tab w:val="left" w:pos="4873"/>
        </w:tabs>
        <w:spacing w:line="240" w:lineRule="auto"/>
        <w:jc w:val="left"/>
        <w:textAlignment w:val="center"/>
        <w:rPr>
          <w:color w:val="000000"/>
        </w:rPr>
      </w:pPr>
      <w:r>
        <w:t xml:space="preserve">C. </w:t>
      </w:r>
      <w:r>
        <w:rPr>
          <w:rFonts w:ascii="宋体" w:hAnsi="宋体" w:eastAsia="宋体" w:cs="宋体"/>
          <w:color w:val="auto"/>
        </w:rPr>
        <w:t>地球大气</w:t>
      </w:r>
      <w:r>
        <w:rPr>
          <w:rFonts w:ascii="宋体" w:hAnsi="宋体" w:eastAsia="宋体" w:cs="宋体"/>
          <w:color w:val="auto"/>
          <w:position w:val="0"/>
        </w:rPr>
        <w:drawing>
          <wp:inline distT="0" distB="0" distL="114300" distR="114300">
            <wp:extent cx="133350" cy="177800"/>
            <wp:effectExtent l="0" t="0" r="0" b="13335"/>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散射作用</w:t>
      </w:r>
      <w:r>
        <w:tab/>
      </w:r>
      <w:r>
        <w:t xml:space="preserve">D. </w:t>
      </w:r>
      <w:r>
        <w:rPr>
          <w:rFonts w:ascii="宋体" w:hAnsi="宋体" w:eastAsia="宋体" w:cs="宋体"/>
          <w:color w:val="auto"/>
        </w:rPr>
        <w:t>地球极光产生的影响</w:t>
      </w:r>
    </w:p>
    <w:p>
      <w:pPr>
        <w:spacing w:line="240" w:lineRule="auto"/>
        <w:ind w:firstLine="420"/>
        <w:jc w:val="left"/>
        <w:textAlignment w:val="center"/>
        <w:rPr>
          <w:color w:val="000000"/>
        </w:rPr>
      </w:pPr>
      <w:r>
        <w:rPr>
          <w:color w:val="000000"/>
        </w:rPr>
        <w:drawing>
          <wp:anchor distT="0" distB="0" distL="114300" distR="114300" simplePos="0" relativeHeight="251659264" behindDoc="0" locked="0" layoutInCell="1" allowOverlap="1">
            <wp:simplePos x="0" y="0"/>
            <wp:positionH relativeFrom="column">
              <wp:posOffset>4190365</wp:posOffset>
            </wp:positionH>
            <wp:positionV relativeFrom="paragraph">
              <wp:posOffset>81280</wp:posOffset>
            </wp:positionV>
            <wp:extent cx="1472565" cy="1964055"/>
            <wp:effectExtent l="0" t="0" r="13335" b="17145"/>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472565" cy="1964055"/>
                    </a:xfrm>
                    <a:prstGeom prst="rect">
                      <a:avLst/>
                    </a:prstGeom>
                  </pic:spPr>
                </pic:pic>
              </a:graphicData>
            </a:graphic>
          </wp:anchor>
        </w:drawing>
      </w:r>
      <w:r>
        <w:rPr>
          <w:rFonts w:ascii="楷体" w:hAnsi="楷体" w:eastAsia="楷体" w:cs="楷体"/>
          <w:color w:val="000000"/>
        </w:rPr>
        <w:t>风光互补路灯作为一种新能源路灯，将太阳能发电板与风力涡轮机系统相结合，共同为路灯系统供电。图为某地风光互补路灯照片。据此完成下面小题。</w:t>
      </w:r>
    </w:p>
    <w:p>
      <w:pPr>
        <w:spacing w:line="240" w:lineRule="auto"/>
        <w:jc w:val="left"/>
        <w:textAlignment w:val="center"/>
        <w:rPr>
          <w:color w:val="000000"/>
        </w:rPr>
      </w:pPr>
      <w:r>
        <w:rPr>
          <w:color w:val="000000"/>
        </w:rPr>
        <w:t xml:space="preserve">3. </w:t>
      </w:r>
      <w:r>
        <w:rPr>
          <w:rFonts w:ascii="宋体" w:hAnsi="宋体" w:eastAsia="宋体" w:cs="宋体"/>
          <w:color w:val="000000"/>
        </w:rPr>
        <w:t>与传统路灯相比，风光互补路灯的优点（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碳排放量少</w:t>
      </w:r>
      <w:r>
        <w:rPr>
          <w:color w:val="000000"/>
        </w:rPr>
        <w:tab/>
      </w:r>
      <w:r>
        <w:rPr>
          <w:color w:val="000000"/>
        </w:rPr>
        <w:t xml:space="preserve">B. </w:t>
      </w:r>
      <w:r>
        <w:rPr>
          <w:rFonts w:ascii="宋体" w:hAnsi="宋体" w:eastAsia="宋体" w:cs="宋体"/>
          <w:color w:val="000000"/>
        </w:rPr>
        <w:t>投资成本小</w:t>
      </w:r>
      <w:r>
        <w:rPr>
          <w:color w:val="000000"/>
        </w:rPr>
        <w:tab/>
      </w:r>
    </w:p>
    <w:p>
      <w:pPr>
        <w:tabs>
          <w:tab w:val="left" w:pos="2436"/>
          <w:tab w:val="left" w:pos="4873"/>
          <w:tab w:val="left" w:pos="7309"/>
        </w:tabs>
        <w:spacing w:line="240" w:lineRule="auto"/>
        <w:jc w:val="left"/>
        <w:textAlignment w:val="center"/>
        <w:rPr>
          <w:color w:val="000000"/>
        </w:rPr>
      </w:pPr>
      <w:r>
        <w:rPr>
          <w:color w:val="000000"/>
        </w:rPr>
        <w:t xml:space="preserve">C. </w:t>
      </w:r>
      <w:r>
        <w:rPr>
          <w:rFonts w:ascii="宋体" w:hAnsi="宋体" w:eastAsia="宋体" w:cs="宋体"/>
          <w:color w:val="000000"/>
        </w:rPr>
        <w:t>电力更稳定</w:t>
      </w:r>
      <w:r>
        <w:rPr>
          <w:color w:val="000000"/>
        </w:rPr>
        <w:tab/>
      </w:r>
      <w:r>
        <w:rPr>
          <w:color w:val="000000"/>
        </w:rPr>
        <w:t xml:space="preserve">D. </w:t>
      </w:r>
      <w:r>
        <w:rPr>
          <w:rFonts w:ascii="宋体" w:hAnsi="宋体" w:eastAsia="宋体" w:cs="宋体"/>
          <w:color w:val="000000"/>
        </w:rPr>
        <w:t>占地面积小</w:t>
      </w:r>
    </w:p>
    <w:p>
      <w:pPr>
        <w:spacing w:line="240" w:lineRule="auto"/>
        <w:jc w:val="left"/>
        <w:textAlignment w:val="center"/>
        <w:rPr>
          <w:color w:val="000000"/>
        </w:rPr>
      </w:pPr>
      <w:r>
        <w:rPr>
          <w:color w:val="000000"/>
        </w:rPr>
        <w:t xml:space="preserve">4. </w:t>
      </w:r>
      <w:r>
        <w:rPr>
          <w:rFonts w:ascii="宋体" w:hAnsi="宋体" w:eastAsia="宋体" w:cs="宋体"/>
          <w:color w:val="000000"/>
        </w:rPr>
        <w:t>风光互补路灯目前在我国尚未得到广泛应用，主要原因是（   ）</w:t>
      </w:r>
    </w:p>
    <w:p>
      <w:pPr>
        <w:tabs>
          <w:tab w:val="left" w:pos="4873"/>
        </w:tabs>
        <w:spacing w:line="240" w:lineRule="auto"/>
        <w:jc w:val="left"/>
        <w:textAlignment w:val="center"/>
        <w:rPr>
          <w:color w:val="000000"/>
        </w:rPr>
      </w:pPr>
      <w:r>
        <w:rPr>
          <w:color w:val="000000"/>
        </w:rPr>
        <w:t xml:space="preserve">A. </w:t>
      </w:r>
      <w:r>
        <w:rPr>
          <w:rFonts w:ascii="宋体" w:hAnsi="宋体" w:eastAsia="宋体" w:cs="宋体"/>
          <w:color w:val="000000"/>
        </w:rPr>
        <w:t>电路线网铺设费用高</w:t>
      </w:r>
      <w:r>
        <w:rPr>
          <w:color w:val="000000"/>
        </w:rPr>
        <w:tab/>
      </w:r>
    </w:p>
    <w:p>
      <w:pPr>
        <w:tabs>
          <w:tab w:val="left" w:pos="4873"/>
        </w:tabs>
        <w:spacing w:line="240" w:lineRule="auto"/>
        <w:jc w:val="left"/>
        <w:textAlignment w:val="center"/>
        <w:rPr>
          <w:rFonts w:ascii="宋体" w:hAnsi="宋体" w:eastAsia="宋体" w:cs="宋体"/>
          <w:color w:val="000000"/>
        </w:rPr>
      </w:pPr>
      <w:r>
        <w:rPr>
          <w:color w:val="000000"/>
        </w:rPr>
        <w:t xml:space="preserve">B. </w:t>
      </w:r>
      <w:r>
        <w:rPr>
          <w:rFonts w:ascii="宋体" w:hAnsi="宋体" w:eastAsia="宋体" w:cs="宋体"/>
          <w:color w:val="000000"/>
        </w:rPr>
        <w:t>后期设备维护费用高</w:t>
      </w:r>
    </w:p>
    <w:p>
      <w:pPr>
        <w:tabs>
          <w:tab w:val="left" w:pos="4873"/>
        </w:tabs>
        <w:spacing w:line="240" w:lineRule="auto"/>
        <w:jc w:val="left"/>
        <w:textAlignment w:val="center"/>
        <w:rPr>
          <w:color w:val="000000"/>
        </w:rPr>
      </w:pPr>
      <w:r>
        <w:rPr>
          <w:color w:val="000000"/>
        </w:rPr>
        <w:t xml:space="preserve">C. </w:t>
      </w:r>
      <w:r>
        <w:rPr>
          <w:rFonts w:ascii="宋体" w:hAnsi="宋体" w:eastAsia="宋体" w:cs="宋体"/>
          <w:color w:val="000000"/>
        </w:rPr>
        <w:t>资源时空分布差异大</w:t>
      </w:r>
      <w:r>
        <w:rPr>
          <w:color w:val="000000"/>
        </w:rPr>
        <w:tab/>
      </w:r>
    </w:p>
    <w:p>
      <w:pPr>
        <w:tabs>
          <w:tab w:val="left" w:pos="4873"/>
        </w:tabs>
        <w:spacing w:line="240" w:lineRule="auto"/>
        <w:jc w:val="left"/>
        <w:textAlignment w:val="center"/>
        <w:rPr>
          <w:color w:val="000000"/>
        </w:rPr>
      </w:pPr>
      <w:r>
        <w:rPr>
          <w:color w:val="000000"/>
        </w:rPr>
        <w:t xml:space="preserve">D. </w:t>
      </w:r>
      <w:r>
        <w:rPr>
          <w:rFonts w:ascii="宋体" w:hAnsi="宋体" w:eastAsia="宋体" w:cs="宋体"/>
          <w:color w:val="000000"/>
        </w:rPr>
        <w:t>研发设计技术要求高</w:t>
      </w:r>
    </w:p>
    <w:p>
      <w:pPr>
        <w:spacing w:line="240" w:lineRule="auto"/>
        <w:ind w:firstLine="420"/>
        <w:jc w:val="left"/>
        <w:textAlignment w:val="center"/>
        <w:rPr>
          <w:color w:val="000000"/>
        </w:rPr>
      </w:pPr>
      <w:r>
        <w:rPr>
          <w:rFonts w:ascii="楷体" w:hAnsi="楷体" w:eastAsia="楷体" w:cs="楷体"/>
          <w:color w:val="000000"/>
        </w:rPr>
        <w:t>中国地震台网测定：2022年6月10日1时28分在四川省阿坝州马尔康市发生6.0级地震，震源深度13km。下图示意地球内部结构（阴影部分为岩浆的发源地），据此完成下面小题。</w:t>
      </w:r>
    </w:p>
    <w:p>
      <w:pPr>
        <w:spacing w:line="240" w:lineRule="auto"/>
        <w:jc w:val="center"/>
        <w:textAlignment w:val="center"/>
        <w:rPr>
          <w:color w:val="000000"/>
        </w:rPr>
      </w:pPr>
      <w:r>
        <w:rPr>
          <w:color w:val="000000"/>
        </w:rPr>
        <w:drawing>
          <wp:inline distT="0" distB="0" distL="114300" distR="114300">
            <wp:extent cx="2087245" cy="2102485"/>
            <wp:effectExtent l="0" t="0" r="8255" b="1206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087245" cy="2102485"/>
                    </a:xfrm>
                    <a:prstGeom prst="rect">
                      <a:avLst/>
                    </a:prstGeom>
                  </pic:spPr>
                </pic:pic>
              </a:graphicData>
            </a:graphic>
          </wp:inline>
        </w:drawing>
      </w:r>
    </w:p>
    <w:p>
      <w:pPr>
        <w:spacing w:line="240" w:lineRule="auto"/>
        <w:jc w:val="left"/>
        <w:textAlignment w:val="center"/>
        <w:rPr>
          <w:color w:val="000000"/>
        </w:rPr>
      </w:pPr>
      <w:r>
        <w:rPr>
          <w:color w:val="000000"/>
        </w:rPr>
        <w:t xml:space="preserve">5. </w:t>
      </w:r>
      <w:r>
        <w:rPr>
          <w:rFonts w:ascii="宋体" w:hAnsi="宋体" w:eastAsia="宋体" w:cs="宋体"/>
          <w:color w:val="000000"/>
        </w:rPr>
        <w:t>此次地震的震源位于（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240" w:lineRule="auto"/>
        <w:jc w:val="left"/>
        <w:textAlignment w:val="center"/>
        <w:rPr>
          <w:color w:val="000000"/>
        </w:rPr>
      </w:pPr>
      <w:r>
        <w:rPr>
          <w:color w:val="000000"/>
        </w:rPr>
        <w:t xml:space="preserve">6. </w:t>
      </w:r>
      <w:r>
        <w:rPr>
          <w:rFonts w:ascii="宋体" w:hAnsi="宋体" w:eastAsia="宋体" w:cs="宋体"/>
          <w:color w:val="000000"/>
        </w:rPr>
        <w:t>此次地震的地震波通过外核时，（   ）</w:t>
      </w:r>
    </w:p>
    <w:p>
      <w:pPr>
        <w:tabs>
          <w:tab w:val="left" w:pos="4873"/>
        </w:tabs>
        <w:spacing w:line="240" w:lineRule="auto"/>
        <w:jc w:val="left"/>
        <w:textAlignment w:val="center"/>
        <w:rPr>
          <w:color w:val="000000"/>
        </w:rPr>
      </w:pPr>
      <w:r>
        <w:rPr>
          <w:color w:val="000000"/>
        </w:rPr>
        <w:t xml:space="preserve">A. </w:t>
      </w:r>
      <w:r>
        <w:rPr>
          <w:rFonts w:ascii="宋体" w:hAnsi="宋体" w:eastAsia="宋体" w:cs="宋体"/>
          <w:color w:val="000000"/>
        </w:rPr>
        <w:t>纵波完全消失，横波速度下降</w:t>
      </w:r>
      <w:r>
        <w:rPr>
          <w:color w:val="000000"/>
        </w:rPr>
        <w:tab/>
      </w:r>
      <w:r>
        <w:rPr>
          <w:color w:val="000000"/>
        </w:rPr>
        <w:t xml:space="preserve">B. </w:t>
      </w:r>
      <w:r>
        <w:rPr>
          <w:rFonts w:ascii="宋体" w:hAnsi="宋体" w:eastAsia="宋体" w:cs="宋体"/>
          <w:color w:val="000000"/>
        </w:rPr>
        <w:t>横波完全消失，纵波速度上升</w:t>
      </w:r>
    </w:p>
    <w:p>
      <w:pPr>
        <w:tabs>
          <w:tab w:val="left" w:pos="4873"/>
        </w:tabs>
        <w:spacing w:line="240" w:lineRule="auto"/>
        <w:jc w:val="left"/>
        <w:textAlignment w:val="center"/>
        <w:rPr>
          <w:color w:val="000000"/>
        </w:rPr>
      </w:pPr>
      <w:r>
        <w:rPr>
          <w:color w:val="000000"/>
        </w:rPr>
        <w:t xml:space="preserve">C. </w:t>
      </w:r>
      <w:r>
        <w:rPr>
          <w:rFonts w:ascii="宋体" w:hAnsi="宋体" w:eastAsia="宋体" w:cs="宋体"/>
          <w:color w:val="000000"/>
        </w:rPr>
        <w:t>横波完全消失，纵波速度下降</w:t>
      </w:r>
      <w:r>
        <w:rPr>
          <w:color w:val="000000"/>
        </w:rPr>
        <w:tab/>
      </w:r>
      <w:r>
        <w:rPr>
          <w:color w:val="000000"/>
        </w:rPr>
        <w:t xml:space="preserve">D. </w:t>
      </w:r>
      <w:r>
        <w:rPr>
          <w:rFonts w:ascii="宋体" w:hAnsi="宋体" w:eastAsia="宋体" w:cs="宋体"/>
          <w:color w:val="000000"/>
        </w:rPr>
        <w:t>纵波完全消失，横波速度上升</w:t>
      </w:r>
    </w:p>
    <w:p>
      <w:pPr>
        <w:spacing w:line="240" w:lineRule="auto"/>
        <w:ind w:firstLine="420"/>
        <w:jc w:val="left"/>
        <w:textAlignment w:val="center"/>
        <w:rPr>
          <w:color w:val="000000"/>
        </w:rPr>
      </w:pPr>
      <w:r>
        <w:rPr>
          <w:rFonts w:ascii="楷体" w:hAnsi="楷体" w:eastAsia="楷体" w:cs="楷体"/>
          <w:color w:val="000000"/>
        </w:rPr>
        <w:t>下图为地质时期的气候变化图，据此完成下面小题。</w:t>
      </w:r>
    </w:p>
    <w:p>
      <w:pPr>
        <w:spacing w:line="240" w:lineRule="auto"/>
        <w:jc w:val="center"/>
        <w:textAlignment w:val="center"/>
        <w:rPr>
          <w:color w:val="000000"/>
        </w:rPr>
      </w:pPr>
      <w:r>
        <w:rPr>
          <w:color w:val="000000"/>
        </w:rPr>
        <w:drawing>
          <wp:inline distT="0" distB="0" distL="114300" distR="114300">
            <wp:extent cx="2347595" cy="3110230"/>
            <wp:effectExtent l="0" t="0" r="14605" b="1397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347595" cy="3110230"/>
                    </a:xfrm>
                    <a:prstGeom prst="rect">
                      <a:avLst/>
                    </a:prstGeom>
                  </pic:spPr>
                </pic:pic>
              </a:graphicData>
            </a:graphic>
          </wp:inline>
        </w:drawing>
      </w:r>
    </w:p>
    <w:p>
      <w:pPr>
        <w:spacing w:line="240" w:lineRule="auto"/>
        <w:jc w:val="left"/>
        <w:textAlignment w:val="center"/>
        <w:rPr>
          <w:color w:val="000000"/>
        </w:rPr>
      </w:pPr>
      <w:r>
        <w:rPr>
          <w:color w:val="000000"/>
        </w:rPr>
        <w:t xml:space="preserve">7. </w:t>
      </w:r>
      <w:r>
        <w:rPr>
          <w:rFonts w:ascii="宋体" w:hAnsi="宋体" w:eastAsia="宋体" w:cs="宋体"/>
          <w:color w:val="000000"/>
        </w:rPr>
        <w:t>图中反映了地质时期的气候特点是（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温暖期偏短</w:t>
      </w:r>
      <w:r>
        <w:rPr>
          <w:color w:val="000000"/>
        </w:rPr>
        <w:tab/>
      </w:r>
      <w:r>
        <w:rPr>
          <w:color w:val="000000"/>
        </w:rPr>
        <w:t xml:space="preserve">B. </w:t>
      </w:r>
      <w:r>
        <w:rPr>
          <w:rFonts w:ascii="宋体" w:hAnsi="宋体" w:eastAsia="宋体" w:cs="宋体"/>
          <w:color w:val="000000"/>
        </w:rPr>
        <w:t>寒冷期较长</w:t>
      </w:r>
      <w:r>
        <w:rPr>
          <w:color w:val="000000"/>
        </w:rPr>
        <w:tab/>
      </w:r>
      <w:r>
        <w:rPr>
          <w:color w:val="000000"/>
        </w:rPr>
        <w:t xml:space="preserve">C. </w:t>
      </w:r>
      <w:r>
        <w:rPr>
          <w:rFonts w:ascii="宋体" w:hAnsi="宋体" w:eastAsia="宋体" w:cs="宋体"/>
          <w:color w:val="000000"/>
        </w:rPr>
        <w:t>干湿相互交替</w:t>
      </w:r>
      <w:r>
        <w:rPr>
          <w:color w:val="000000"/>
        </w:rPr>
        <w:tab/>
      </w:r>
      <w:r>
        <w:rPr>
          <w:color w:val="000000"/>
        </w:rPr>
        <w:t xml:space="preserve">D. </w:t>
      </w:r>
      <w:r>
        <w:rPr>
          <w:rFonts w:ascii="宋体" w:hAnsi="宋体" w:eastAsia="宋体" w:cs="宋体"/>
          <w:color w:val="000000"/>
        </w:rPr>
        <w:t>变化周期一致</w:t>
      </w:r>
    </w:p>
    <w:p>
      <w:pPr>
        <w:spacing w:line="240" w:lineRule="auto"/>
        <w:jc w:val="left"/>
        <w:textAlignment w:val="center"/>
        <w:rPr>
          <w:color w:val="000000"/>
        </w:rPr>
      </w:pPr>
      <w:r>
        <w:rPr>
          <w:color w:val="000000"/>
        </w:rPr>
        <w:t xml:space="preserve">8. </w:t>
      </w:r>
      <w:r>
        <w:rPr>
          <w:rFonts w:ascii="宋体" w:hAnsi="宋体" w:eastAsia="宋体" w:cs="宋体"/>
          <w:color w:val="000000"/>
        </w:rPr>
        <w:t>古生代生物大灭绝时期，气候趋向于（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暖干</w:t>
      </w:r>
      <w:r>
        <w:rPr>
          <w:color w:val="000000"/>
        </w:rPr>
        <w:tab/>
      </w:r>
      <w:r>
        <w:rPr>
          <w:color w:val="000000"/>
        </w:rPr>
        <w:t xml:space="preserve">B. </w:t>
      </w:r>
      <w:r>
        <w:rPr>
          <w:rFonts w:ascii="宋体" w:hAnsi="宋体" w:eastAsia="宋体" w:cs="宋体"/>
          <w:color w:val="000000"/>
        </w:rPr>
        <w:t>暖湿</w:t>
      </w:r>
      <w:r>
        <w:rPr>
          <w:color w:val="000000"/>
        </w:rPr>
        <w:tab/>
      </w:r>
      <w:r>
        <w:rPr>
          <w:color w:val="000000"/>
        </w:rPr>
        <w:t xml:space="preserve">C. </w:t>
      </w:r>
      <w:r>
        <w:rPr>
          <w:rFonts w:ascii="宋体" w:hAnsi="宋体" w:eastAsia="宋体" w:cs="宋体"/>
          <w:color w:val="000000"/>
        </w:rPr>
        <w:t>冷干</w:t>
      </w:r>
      <w:r>
        <w:rPr>
          <w:color w:val="000000"/>
        </w:rPr>
        <w:tab/>
      </w:r>
      <w:r>
        <w:rPr>
          <w:color w:val="000000"/>
        </w:rPr>
        <w:t xml:space="preserve">D. </w:t>
      </w:r>
      <w:r>
        <w:rPr>
          <w:rFonts w:ascii="宋体" w:hAnsi="宋体" w:eastAsia="宋体" w:cs="宋体"/>
          <w:color w:val="000000"/>
        </w:rPr>
        <w:t>冷湿</w:t>
      </w:r>
    </w:p>
    <w:p>
      <w:pPr>
        <w:spacing w:line="240" w:lineRule="auto"/>
        <w:ind w:firstLine="420"/>
        <w:jc w:val="left"/>
        <w:textAlignment w:val="center"/>
        <w:rPr>
          <w:color w:val="000000"/>
        </w:rPr>
      </w:pPr>
      <w:r>
        <w:rPr>
          <w:rFonts w:ascii="楷体" w:hAnsi="楷体" w:eastAsia="楷体" w:cs="楷体"/>
          <w:color w:val="000000"/>
        </w:rPr>
        <w:t>福建省海坛岛被专家誉为海蚀地貌博物馆，岛上的“双帆石”是我国最大的花岗岩海蚀柱，左图为“双帆石”景观图，右图为海坛岛某处海岸地貌剖面图，③地分布有较多沙丘。据此完成下面小题。</w:t>
      </w:r>
    </w:p>
    <w:p>
      <w:pPr>
        <w:spacing w:line="240" w:lineRule="auto"/>
        <w:jc w:val="center"/>
        <w:textAlignment w:val="center"/>
        <w:rPr>
          <w:color w:val="000000"/>
        </w:rPr>
      </w:pPr>
      <w:r>
        <w:rPr>
          <w:color w:val="000000"/>
        </w:rPr>
        <w:drawing>
          <wp:inline distT="0" distB="0" distL="114300" distR="114300">
            <wp:extent cx="2051685" cy="1600835"/>
            <wp:effectExtent l="0" t="0" r="5715" b="1841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051685" cy="1600835"/>
                    </a:xfrm>
                    <a:prstGeom prst="rect">
                      <a:avLst/>
                    </a:prstGeom>
                  </pic:spPr>
                </pic:pic>
              </a:graphicData>
            </a:graphic>
          </wp:inline>
        </w:drawing>
      </w:r>
      <w:r>
        <w:rPr>
          <w:color w:val="000000"/>
        </w:rPr>
        <w:drawing>
          <wp:inline distT="0" distB="0" distL="114300" distR="114300">
            <wp:extent cx="2132330" cy="1636395"/>
            <wp:effectExtent l="0" t="0" r="1270" b="190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132330" cy="1636395"/>
                    </a:xfrm>
                    <a:prstGeom prst="rect">
                      <a:avLst/>
                    </a:prstGeom>
                  </pic:spPr>
                </pic:pic>
              </a:graphicData>
            </a:graphic>
          </wp:inline>
        </w:drawing>
      </w:r>
    </w:p>
    <w:p>
      <w:pPr>
        <w:spacing w:line="240" w:lineRule="auto"/>
        <w:jc w:val="left"/>
        <w:textAlignment w:val="center"/>
        <w:rPr>
          <w:color w:val="000000"/>
        </w:rPr>
      </w:pPr>
      <w:r>
        <w:rPr>
          <w:color w:val="000000"/>
        </w:rPr>
        <w:t xml:space="preserve">9. </w:t>
      </w:r>
      <w:r>
        <w:rPr>
          <w:rFonts w:ascii="宋体" w:hAnsi="宋体" w:eastAsia="宋体" w:cs="宋体"/>
          <w:color w:val="000000"/>
        </w:rPr>
        <w:t>图中示意“双帆石”景观的是（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240" w:lineRule="auto"/>
        <w:jc w:val="left"/>
        <w:textAlignment w:val="center"/>
        <w:rPr>
          <w:color w:val="000000"/>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bookmarkStart w:id="0" w:name="_GoBack"/>
      <w:bookmarkEnd w:id="0"/>
      <w:r>
        <w:rPr>
          <w:color w:val="000000"/>
        </w:rPr>
        <w:t xml:space="preserve">10. </w:t>
      </w:r>
      <w:r>
        <w:rPr>
          <w:rFonts w:ascii="宋体" w:hAnsi="宋体" w:eastAsia="宋体" w:cs="宋体"/>
          <w:color w:val="000000"/>
        </w:rPr>
        <w:t>目前规模仍在不断扩大的地貌有（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240" w:lineRule="auto"/>
        <w:ind w:firstLine="420"/>
        <w:jc w:val="left"/>
        <w:textAlignment w:val="center"/>
        <w:rPr>
          <w:color w:val="000000"/>
        </w:rPr>
      </w:pPr>
      <w:r>
        <w:rPr>
          <w:rFonts w:ascii="楷体" w:hAnsi="楷体" w:eastAsia="楷体" w:cs="楷体"/>
          <w:color w:val="000000"/>
        </w:rPr>
        <w:t>下图为地球大气的垂直分层部分图，据此完成下面小题。</w:t>
      </w:r>
    </w:p>
    <w:p>
      <w:pPr>
        <w:spacing w:line="240" w:lineRule="auto"/>
        <w:jc w:val="center"/>
        <w:textAlignment w:val="center"/>
        <w:rPr>
          <w:color w:val="000000"/>
        </w:rPr>
      </w:pPr>
      <w:r>
        <w:rPr>
          <w:color w:val="000000"/>
        </w:rPr>
        <w:drawing>
          <wp:inline distT="0" distB="0" distL="114300" distR="114300">
            <wp:extent cx="2548255" cy="1636395"/>
            <wp:effectExtent l="0" t="0" r="4445" b="190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548255" cy="1636395"/>
                    </a:xfrm>
                    <a:prstGeom prst="rect">
                      <a:avLst/>
                    </a:prstGeom>
                  </pic:spPr>
                </pic:pic>
              </a:graphicData>
            </a:graphic>
          </wp:inline>
        </w:drawing>
      </w:r>
    </w:p>
    <w:p>
      <w:pPr>
        <w:spacing w:line="240" w:lineRule="auto"/>
        <w:jc w:val="left"/>
        <w:textAlignment w:val="center"/>
        <w:rPr>
          <w:color w:val="000000"/>
        </w:rPr>
      </w:pPr>
      <w:r>
        <w:rPr>
          <w:color w:val="000000"/>
        </w:rPr>
        <w:t xml:space="preserve">11. </w:t>
      </w:r>
      <w:r>
        <w:rPr>
          <w:rFonts w:ascii="宋体" w:hAnsi="宋体" w:eastAsia="宋体" w:cs="宋体"/>
          <w:color w:val="000000"/>
        </w:rPr>
        <w:t>①②③④四条曲线中，能正确表示图示该层大气气温垂直分布状况的是（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240" w:lineRule="auto"/>
        <w:jc w:val="left"/>
        <w:textAlignment w:val="center"/>
        <w:rPr>
          <w:color w:val="000000"/>
        </w:rPr>
      </w:pPr>
      <w:r>
        <w:rPr>
          <w:color w:val="000000"/>
        </w:rPr>
        <w:t xml:space="preserve">12. </w:t>
      </w:r>
      <w:r>
        <w:rPr>
          <w:rFonts w:ascii="宋体" w:hAnsi="宋体" w:eastAsia="宋体" w:cs="宋体"/>
          <w:color w:val="000000"/>
        </w:rPr>
        <w:t>影响该大气层气温垂直变化的主要因素（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臭氧</w:t>
      </w:r>
      <w:r>
        <w:rPr>
          <w:color w:val="000000"/>
        </w:rPr>
        <w:tab/>
      </w:r>
      <w:r>
        <w:rPr>
          <w:color w:val="000000"/>
        </w:rPr>
        <w:t xml:space="preserve">B. </w:t>
      </w:r>
      <w:r>
        <w:rPr>
          <w:rFonts w:ascii="宋体" w:hAnsi="宋体" w:eastAsia="宋体" w:cs="宋体"/>
          <w:color w:val="000000"/>
        </w:rPr>
        <w:t>二氧化碳</w:t>
      </w:r>
      <w:r>
        <w:rPr>
          <w:color w:val="000000"/>
        </w:rPr>
        <w:tab/>
      </w:r>
      <w:r>
        <w:rPr>
          <w:color w:val="000000"/>
        </w:rPr>
        <w:t xml:space="preserve">C. </w:t>
      </w:r>
      <w:r>
        <w:rPr>
          <w:rFonts w:ascii="宋体" w:hAnsi="宋体" w:eastAsia="宋体" w:cs="宋体"/>
          <w:color w:val="000000"/>
        </w:rPr>
        <w:t>海拔高度</w:t>
      </w:r>
      <w:r>
        <w:rPr>
          <w:color w:val="000000"/>
        </w:rPr>
        <w:tab/>
      </w:r>
      <w:r>
        <w:rPr>
          <w:color w:val="000000"/>
        </w:rPr>
        <w:t xml:space="preserve">D. </w:t>
      </w:r>
      <w:r>
        <w:rPr>
          <w:rFonts w:ascii="宋体" w:hAnsi="宋体" w:eastAsia="宋体" w:cs="宋体"/>
          <w:color w:val="000000"/>
        </w:rPr>
        <w:t>人类活动</w:t>
      </w:r>
    </w:p>
    <w:p>
      <w:pPr>
        <w:spacing w:line="240" w:lineRule="auto"/>
        <w:ind w:firstLine="420"/>
        <w:jc w:val="left"/>
        <w:textAlignment w:val="center"/>
        <w:rPr>
          <w:color w:val="000000"/>
        </w:rPr>
      </w:pPr>
      <w:r>
        <w:rPr>
          <w:rFonts w:ascii="楷体" w:hAnsi="楷体" w:eastAsia="楷体" w:cs="楷体"/>
          <w:color w:val="000000"/>
        </w:rPr>
        <w:t>下图示意大西洋表层海水温度、盐度、密度随纬度的变化。据此完成下面小题。</w:t>
      </w:r>
    </w:p>
    <w:p>
      <w:pPr>
        <w:spacing w:line="240" w:lineRule="auto"/>
        <w:jc w:val="center"/>
        <w:textAlignment w:val="center"/>
        <w:rPr>
          <w:color w:val="000000"/>
        </w:rPr>
      </w:pPr>
      <w:r>
        <w:rPr>
          <w:color w:val="000000"/>
        </w:rPr>
        <w:drawing>
          <wp:inline distT="0" distB="0" distL="114300" distR="114300">
            <wp:extent cx="4152900" cy="17335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152900" cy="1733550"/>
                    </a:xfrm>
                    <a:prstGeom prst="rect">
                      <a:avLst/>
                    </a:prstGeom>
                  </pic:spPr>
                </pic:pic>
              </a:graphicData>
            </a:graphic>
          </wp:inline>
        </w:drawing>
      </w:r>
    </w:p>
    <w:p>
      <w:pPr>
        <w:spacing w:line="240" w:lineRule="auto"/>
        <w:jc w:val="left"/>
        <w:textAlignment w:val="center"/>
        <w:rPr>
          <w:color w:val="000000"/>
        </w:rPr>
      </w:pPr>
      <w:r>
        <w:rPr>
          <w:color w:val="000000"/>
        </w:rPr>
        <w:t xml:space="preserve">13. </w:t>
      </w:r>
      <w:r>
        <w:rPr>
          <w:rFonts w:ascii="宋体" w:hAnsi="宋体" w:eastAsia="宋体" w:cs="宋体"/>
          <w:color w:val="000000"/>
        </w:rPr>
        <w:t>图中曲线①②③依次表示大西洋表层海水的（   ）</w:t>
      </w:r>
    </w:p>
    <w:p>
      <w:pPr>
        <w:tabs>
          <w:tab w:val="left" w:pos="4873"/>
        </w:tabs>
        <w:spacing w:line="240" w:lineRule="auto"/>
        <w:jc w:val="left"/>
        <w:textAlignment w:val="center"/>
        <w:rPr>
          <w:color w:val="000000"/>
        </w:rPr>
      </w:pPr>
      <w:r>
        <w:rPr>
          <w:color w:val="000000"/>
        </w:rPr>
        <w:t xml:space="preserve">A. </w:t>
      </w:r>
      <w:r>
        <w:rPr>
          <w:rFonts w:ascii="宋体" w:hAnsi="宋体" w:eastAsia="宋体" w:cs="宋体"/>
          <w:color w:val="000000"/>
        </w:rPr>
        <w:t>密度、温度、盐度</w:t>
      </w:r>
      <w:r>
        <w:rPr>
          <w:color w:val="000000"/>
        </w:rPr>
        <w:tab/>
      </w:r>
      <w:r>
        <w:rPr>
          <w:color w:val="000000"/>
        </w:rPr>
        <w:t xml:space="preserve">B. </w:t>
      </w:r>
      <w:r>
        <w:rPr>
          <w:rFonts w:ascii="宋体" w:hAnsi="宋体" w:eastAsia="宋体" w:cs="宋体"/>
          <w:color w:val="000000"/>
        </w:rPr>
        <w:t>温度、盐度、密度</w:t>
      </w:r>
    </w:p>
    <w:p>
      <w:pPr>
        <w:tabs>
          <w:tab w:val="left" w:pos="4873"/>
        </w:tabs>
        <w:spacing w:line="240" w:lineRule="auto"/>
        <w:jc w:val="left"/>
        <w:textAlignment w:val="center"/>
        <w:rPr>
          <w:color w:val="000000"/>
        </w:rPr>
      </w:pPr>
      <w:r>
        <w:rPr>
          <w:color w:val="000000"/>
        </w:rPr>
        <w:t xml:space="preserve">C. </w:t>
      </w:r>
      <w:r>
        <w:rPr>
          <w:rFonts w:ascii="宋体" w:hAnsi="宋体" w:eastAsia="宋体" w:cs="宋体"/>
          <w:color w:val="000000"/>
        </w:rPr>
        <w:t>温度、密度、盐度</w:t>
      </w:r>
      <w:r>
        <w:rPr>
          <w:color w:val="000000"/>
        </w:rPr>
        <w:tab/>
      </w:r>
      <w:r>
        <w:rPr>
          <w:color w:val="000000"/>
        </w:rPr>
        <w:t xml:space="preserve">D. </w:t>
      </w:r>
      <w:r>
        <w:rPr>
          <w:rFonts w:ascii="宋体" w:hAnsi="宋体" w:eastAsia="宋体" w:cs="宋体"/>
          <w:color w:val="000000"/>
        </w:rPr>
        <w:t>密度、盐度、温度</w:t>
      </w:r>
    </w:p>
    <w:p>
      <w:pPr>
        <w:spacing w:line="240" w:lineRule="auto"/>
        <w:jc w:val="left"/>
        <w:textAlignment w:val="center"/>
        <w:rPr>
          <w:color w:val="000000"/>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color w:val="000000"/>
        </w:rPr>
        <w:t xml:space="preserve">14. </w:t>
      </w:r>
      <w:r>
        <w:rPr>
          <w:rFonts w:ascii="宋体" w:hAnsi="宋体" w:eastAsia="宋体" w:cs="宋体"/>
          <w:color w:val="000000"/>
        </w:rPr>
        <w:t>5°N附近大西洋表层海水的性质特点及其成因是（   ）</w:t>
      </w:r>
    </w:p>
    <w:p>
      <w:pPr>
        <w:tabs>
          <w:tab w:val="left" w:pos="4873"/>
        </w:tabs>
        <w:spacing w:line="240" w:lineRule="auto"/>
        <w:jc w:val="left"/>
        <w:textAlignment w:val="center"/>
        <w:rPr>
          <w:color w:val="000000"/>
        </w:rPr>
      </w:pPr>
      <w:r>
        <w:rPr>
          <w:color w:val="000000"/>
        </w:rPr>
        <w:t xml:space="preserve">A. </w:t>
      </w:r>
      <w:r>
        <w:rPr>
          <w:rFonts w:ascii="宋体" w:hAnsi="宋体" w:eastAsia="宋体" w:cs="宋体"/>
          <w:color w:val="000000"/>
        </w:rPr>
        <w:t>密度高——海水温度高，盐度低</w:t>
      </w:r>
      <w:r>
        <w:rPr>
          <w:color w:val="000000"/>
        </w:rPr>
        <w:tab/>
      </w:r>
      <w:r>
        <w:rPr>
          <w:color w:val="000000"/>
        </w:rPr>
        <w:t xml:space="preserve">B. </w:t>
      </w:r>
      <w:r>
        <w:rPr>
          <w:rFonts w:ascii="宋体" w:hAnsi="宋体" w:eastAsia="宋体" w:cs="宋体"/>
          <w:color w:val="000000"/>
        </w:rPr>
        <w:t>密度低——海水温度低，盐度高</w:t>
      </w:r>
    </w:p>
    <w:p>
      <w:pPr>
        <w:tabs>
          <w:tab w:val="left" w:pos="4873"/>
        </w:tabs>
        <w:spacing w:line="240" w:lineRule="auto"/>
        <w:jc w:val="left"/>
        <w:textAlignment w:val="center"/>
        <w:rPr>
          <w:color w:val="000000"/>
        </w:rPr>
      </w:pPr>
      <w:r>
        <w:rPr>
          <w:color w:val="000000"/>
        </w:rPr>
        <w:t xml:space="preserve">C. </w:t>
      </w:r>
      <w:r>
        <w:rPr>
          <w:rFonts w:ascii="宋体" w:hAnsi="宋体" w:eastAsia="宋体" w:cs="宋体"/>
          <w:color w:val="000000"/>
        </w:rPr>
        <w:t>盐度低——海水温度高，降水量大</w:t>
      </w:r>
      <w:r>
        <w:rPr>
          <w:color w:val="000000"/>
        </w:rPr>
        <w:tab/>
      </w:r>
      <w:r>
        <w:rPr>
          <w:color w:val="000000"/>
        </w:rPr>
        <w:t xml:space="preserve">D. </w:t>
      </w:r>
      <w:r>
        <w:rPr>
          <w:rFonts w:ascii="宋体" w:hAnsi="宋体" w:eastAsia="宋体" w:cs="宋体"/>
          <w:color w:val="000000"/>
        </w:rPr>
        <w:t>盐度高——海水温度低，降水量大</w:t>
      </w:r>
    </w:p>
    <w:p>
      <w:pPr>
        <w:spacing w:line="240" w:lineRule="auto"/>
        <w:ind w:firstLine="420"/>
        <w:jc w:val="left"/>
        <w:textAlignment w:val="center"/>
        <w:rPr>
          <w:color w:val="000000"/>
        </w:rPr>
      </w:pPr>
      <w:r>
        <w:rPr>
          <w:rFonts w:ascii="楷体" w:hAnsi="楷体" w:eastAsia="楷体" w:cs="楷体"/>
          <w:color w:val="000000"/>
        </w:rPr>
        <w:t>2022年10月8日是今年的寒露节气。气象谚语常有“寒露寒露，遍地冷露”、“露重见晴天”之说。下图为大气受热过程示意图。据此完成下面小题。</w:t>
      </w:r>
    </w:p>
    <w:p>
      <w:pPr>
        <w:spacing w:line="240" w:lineRule="auto"/>
        <w:jc w:val="center"/>
        <w:textAlignment w:val="center"/>
        <w:rPr>
          <w:color w:val="000000"/>
        </w:rPr>
      </w:pPr>
      <w:r>
        <w:rPr>
          <w:color w:val="000000"/>
        </w:rPr>
        <w:drawing>
          <wp:inline distT="0" distB="0" distL="114300" distR="114300">
            <wp:extent cx="2419350" cy="1791335"/>
            <wp:effectExtent l="0" t="0" r="0" b="1841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419350" cy="1791335"/>
                    </a:xfrm>
                    <a:prstGeom prst="rect">
                      <a:avLst/>
                    </a:prstGeom>
                  </pic:spPr>
                </pic:pic>
              </a:graphicData>
            </a:graphic>
          </wp:inline>
        </w:drawing>
      </w:r>
    </w:p>
    <w:p>
      <w:pPr>
        <w:spacing w:line="240" w:lineRule="auto"/>
        <w:jc w:val="left"/>
        <w:textAlignment w:val="center"/>
        <w:rPr>
          <w:color w:val="000000"/>
        </w:rPr>
      </w:pPr>
      <w:r>
        <w:rPr>
          <w:color w:val="000000"/>
        </w:rPr>
        <w:t xml:space="preserve">15. </w:t>
      </w:r>
      <w:r>
        <w:rPr>
          <w:rFonts w:ascii="宋体" w:hAnsi="宋体" w:eastAsia="宋体" w:cs="宋体"/>
          <w:color w:val="000000"/>
        </w:rPr>
        <w:t>“寒露寒露，遍地冷露”表明寒露节气后气温明显下降。图中正确表示近地面大气受热过程的是（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①-②-⑤</w:t>
      </w:r>
      <w:r>
        <w:rPr>
          <w:color w:val="000000"/>
        </w:rPr>
        <w:tab/>
      </w:r>
      <w:r>
        <w:rPr>
          <w:color w:val="000000"/>
        </w:rPr>
        <w:t xml:space="preserve">D. </w:t>
      </w:r>
      <w:r>
        <w:rPr>
          <w:rFonts w:ascii="宋体" w:hAnsi="宋体" w:eastAsia="宋体" w:cs="宋体"/>
          <w:color w:val="000000"/>
        </w:rPr>
        <w:t>①-④-⑤</w:t>
      </w:r>
    </w:p>
    <w:p>
      <w:pPr>
        <w:spacing w:line="240" w:lineRule="auto"/>
        <w:jc w:val="left"/>
        <w:textAlignment w:val="center"/>
        <w:rPr>
          <w:color w:val="000000"/>
        </w:rPr>
      </w:pPr>
      <w:r>
        <w:rPr>
          <w:color w:val="000000"/>
        </w:rPr>
        <w:t xml:space="preserve">16. </w:t>
      </w:r>
      <w:r>
        <w:rPr>
          <w:rFonts w:ascii="宋体" w:hAnsi="宋体" w:eastAsia="宋体" w:cs="宋体"/>
          <w:color w:val="000000"/>
        </w:rPr>
        <w:t>与“露重见晴天”中露水形成密切相关的是（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②增强</w:t>
      </w:r>
      <w:r>
        <w:rPr>
          <w:color w:val="000000"/>
        </w:rPr>
        <w:tab/>
      </w:r>
      <w:r>
        <w:rPr>
          <w:color w:val="000000"/>
        </w:rPr>
        <w:t xml:space="preserve">B. </w:t>
      </w:r>
      <w:r>
        <w:rPr>
          <w:rFonts w:ascii="宋体" w:hAnsi="宋体" w:eastAsia="宋体" w:cs="宋体"/>
          <w:color w:val="000000"/>
        </w:rPr>
        <w:t>③减弱</w:t>
      </w:r>
      <w:r>
        <w:rPr>
          <w:color w:val="000000"/>
        </w:rPr>
        <w:tab/>
      </w:r>
      <w:r>
        <w:rPr>
          <w:color w:val="000000"/>
        </w:rPr>
        <w:t xml:space="preserve">C. </w:t>
      </w:r>
      <w:r>
        <w:rPr>
          <w:rFonts w:ascii="宋体" w:hAnsi="宋体" w:eastAsia="宋体" w:cs="宋体"/>
          <w:color w:val="000000"/>
        </w:rPr>
        <w:t>④增强</w:t>
      </w:r>
      <w:r>
        <w:rPr>
          <w:color w:val="000000"/>
        </w:rPr>
        <w:tab/>
      </w:r>
      <w:r>
        <w:rPr>
          <w:color w:val="000000"/>
        </w:rPr>
        <w:t xml:space="preserve">D. </w:t>
      </w:r>
      <w:r>
        <w:rPr>
          <w:rFonts w:ascii="宋体" w:hAnsi="宋体" w:eastAsia="宋体" w:cs="宋体"/>
          <w:color w:val="000000"/>
        </w:rPr>
        <w:t>⑤减弱</w:t>
      </w:r>
    </w:p>
    <w:p>
      <w:pPr>
        <w:spacing w:line="240" w:lineRule="auto"/>
        <w:ind w:firstLine="420"/>
        <w:jc w:val="left"/>
        <w:textAlignment w:val="center"/>
        <w:rPr>
          <w:color w:val="000000"/>
        </w:rPr>
      </w:pPr>
      <w:r>
        <w:rPr>
          <w:rFonts w:ascii="楷体" w:hAnsi="楷体" w:eastAsia="楷体" w:cs="楷体"/>
          <w:color w:val="000000"/>
        </w:rPr>
        <w:t>下图为我国某节能房屋示意图，该房屋在不同季节的白天与夜晚通过开闭某些隔断或窗户可实现室内外冷暖空气的变换，从而达到节能的目的。据此完成下面小题。</w:t>
      </w:r>
    </w:p>
    <w:p>
      <w:pPr>
        <w:spacing w:line="240" w:lineRule="auto"/>
        <w:jc w:val="center"/>
        <w:textAlignment w:val="center"/>
        <w:rPr>
          <w:color w:val="000000"/>
        </w:rPr>
      </w:pPr>
      <w:r>
        <w:rPr>
          <w:color w:val="000000"/>
        </w:rPr>
        <w:drawing>
          <wp:inline distT="0" distB="0" distL="114300" distR="114300">
            <wp:extent cx="2501900" cy="1866900"/>
            <wp:effectExtent l="0" t="0" r="1270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501900" cy="1866900"/>
                    </a:xfrm>
                    <a:prstGeom prst="rect">
                      <a:avLst/>
                    </a:prstGeom>
                  </pic:spPr>
                </pic:pic>
              </a:graphicData>
            </a:graphic>
          </wp:inline>
        </w:drawing>
      </w:r>
    </w:p>
    <w:p>
      <w:pPr>
        <w:spacing w:line="240" w:lineRule="auto"/>
        <w:jc w:val="left"/>
        <w:textAlignment w:val="center"/>
        <w:rPr>
          <w:color w:val="000000"/>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color w:val="000000"/>
        </w:rPr>
        <w:t xml:space="preserve">17. </w:t>
      </w:r>
      <w:r>
        <w:rPr>
          <w:rFonts w:ascii="宋体" w:hAnsi="宋体" w:eastAsia="宋体" w:cs="宋体"/>
          <w:color w:val="000000"/>
        </w:rPr>
        <w:t>如图隔断打开和窗户关闭，最可能表示的是（   ）</w:t>
      </w:r>
    </w:p>
    <w:p>
      <w:pPr>
        <w:tabs>
          <w:tab w:val="left" w:pos="2436"/>
          <w:tab w:val="left" w:pos="4873"/>
          <w:tab w:val="left" w:pos="7309"/>
        </w:tabs>
        <w:spacing w:line="240" w:lineRule="auto"/>
        <w:jc w:val="left"/>
        <w:textAlignment w:val="center"/>
        <w:rPr>
          <w:color w:val="000000"/>
        </w:rPr>
      </w:pPr>
      <w:r>
        <w:rPr>
          <w:color w:val="000000"/>
        </w:rPr>
        <w:t xml:space="preserve">A. </w:t>
      </w:r>
      <w:r>
        <w:rPr>
          <w:rFonts w:ascii="宋体" w:hAnsi="宋体" w:eastAsia="宋体" w:cs="宋体"/>
          <w:color w:val="000000"/>
        </w:rPr>
        <w:t>夏季的夜晚</w:t>
      </w:r>
      <w:r>
        <w:rPr>
          <w:color w:val="000000"/>
        </w:rPr>
        <w:tab/>
      </w:r>
      <w:r>
        <w:rPr>
          <w:color w:val="000000"/>
        </w:rPr>
        <w:t xml:space="preserve">B. </w:t>
      </w:r>
      <w:r>
        <w:rPr>
          <w:rFonts w:ascii="宋体" w:hAnsi="宋体" w:eastAsia="宋体" w:cs="宋体"/>
          <w:color w:val="000000"/>
        </w:rPr>
        <w:t>夏季的白天</w:t>
      </w:r>
      <w:r>
        <w:rPr>
          <w:color w:val="000000"/>
        </w:rPr>
        <w:tab/>
      </w:r>
      <w:r>
        <w:rPr>
          <w:color w:val="000000"/>
        </w:rPr>
        <w:t xml:space="preserve">C. </w:t>
      </w:r>
      <w:r>
        <w:rPr>
          <w:rFonts w:ascii="宋体" w:hAnsi="宋体" w:eastAsia="宋体" w:cs="宋体"/>
          <w:color w:val="000000"/>
        </w:rPr>
        <w:t>冬季的夜晚</w:t>
      </w:r>
      <w:r>
        <w:rPr>
          <w:color w:val="000000"/>
        </w:rPr>
        <w:tab/>
      </w:r>
      <w:r>
        <w:rPr>
          <w:color w:val="000000"/>
        </w:rPr>
        <w:t xml:space="preserve">D. </w:t>
      </w:r>
      <w:r>
        <w:rPr>
          <w:rFonts w:ascii="宋体" w:hAnsi="宋体" w:eastAsia="宋体" w:cs="宋体"/>
          <w:color w:val="000000"/>
        </w:rPr>
        <w:t>冬季的白天</w:t>
      </w:r>
    </w:p>
    <w:p>
      <w:pPr>
        <w:spacing w:line="240" w:lineRule="auto"/>
        <w:jc w:val="left"/>
        <w:textAlignment w:val="center"/>
        <w:rPr>
          <w:color w:val="000000"/>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color w:val="000000"/>
        </w:rPr>
        <w:t xml:space="preserve">18. </w:t>
      </w:r>
      <w:r>
        <w:rPr>
          <w:rFonts w:ascii="宋体" w:hAnsi="宋体" w:eastAsia="宋体" w:cs="宋体"/>
          <w:color w:val="000000"/>
        </w:rPr>
        <w:t>应用图示原理可以解释的现象是（   ）</w:t>
      </w:r>
    </w:p>
    <w:p>
      <w:pPr>
        <w:tabs>
          <w:tab w:val="left" w:pos="4873"/>
        </w:tabs>
        <w:spacing w:line="240" w:lineRule="auto"/>
        <w:jc w:val="left"/>
        <w:textAlignment w:val="center"/>
        <w:rPr>
          <w:color w:val="000000"/>
        </w:rPr>
      </w:pPr>
      <w:r>
        <w:rPr>
          <w:color w:val="000000"/>
        </w:rPr>
        <w:t xml:space="preserve">A. </w:t>
      </w:r>
      <w:r>
        <w:rPr>
          <w:rFonts w:ascii="宋体" w:hAnsi="宋体" w:eastAsia="宋体" w:cs="宋体"/>
          <w:color w:val="000000"/>
        </w:rPr>
        <w:t>城市热岛环流</w:t>
      </w:r>
      <w:r>
        <w:rPr>
          <w:color w:val="000000"/>
        </w:rPr>
        <w:tab/>
      </w:r>
      <w:r>
        <w:rPr>
          <w:color w:val="000000"/>
        </w:rPr>
        <w:t xml:space="preserve">B. </w:t>
      </w:r>
      <w:r>
        <w:rPr>
          <w:rFonts w:ascii="宋体" w:hAnsi="宋体" w:eastAsia="宋体" w:cs="宋体"/>
          <w:color w:val="000000"/>
        </w:rPr>
        <w:t>午后气温最高</w:t>
      </w:r>
    </w:p>
    <w:p>
      <w:pPr>
        <w:tabs>
          <w:tab w:val="left" w:pos="4873"/>
        </w:tabs>
        <w:spacing w:line="240" w:lineRule="auto"/>
        <w:jc w:val="left"/>
        <w:textAlignment w:val="center"/>
        <w:rPr>
          <w:color w:val="000000"/>
        </w:rPr>
      </w:pPr>
      <w:r>
        <w:rPr>
          <w:color w:val="000000"/>
        </w:rPr>
        <w:t xml:space="preserve">C. </w:t>
      </w:r>
      <w:r>
        <w:rPr>
          <w:rFonts w:ascii="宋体" w:hAnsi="宋体" w:eastAsia="宋体" w:cs="宋体"/>
          <w:color w:val="000000"/>
        </w:rPr>
        <w:t>地球温室效应</w:t>
      </w:r>
      <w:r>
        <w:rPr>
          <w:color w:val="000000"/>
        </w:rPr>
        <w:tab/>
      </w:r>
      <w:r>
        <w:rPr>
          <w:color w:val="000000"/>
        </w:rPr>
        <w:t xml:space="preserve">D. </w:t>
      </w:r>
      <w:r>
        <w:rPr>
          <w:rFonts w:ascii="宋体" w:hAnsi="宋体" w:eastAsia="宋体" w:cs="宋体"/>
          <w:color w:val="000000"/>
        </w:rPr>
        <w:t>内陆温差较大</w:t>
      </w:r>
    </w:p>
    <w:p>
      <w:pPr>
        <w:rPr>
          <w:rFonts w:hint="eastAsia" w:ascii="宋体" w:hAnsi="宋体" w:eastAsia="宋体" w:cs="宋体"/>
          <w:kern w:val="0"/>
          <w:sz w:val="21"/>
          <w:szCs w:val="21"/>
        </w:rPr>
      </w:pPr>
      <w:r>
        <w:rPr>
          <w:rFonts w:hint="eastAsia" w:ascii="宋体" w:hAnsi="宋体" w:eastAsia="宋体" w:cs="宋体"/>
          <w:kern w:val="0"/>
          <w:sz w:val="21"/>
          <w:szCs w:val="21"/>
        </w:rPr>
        <w:br w:type="page"/>
      </w:r>
    </w:p>
    <w:p>
      <w:pPr>
        <w:spacing w:line="240"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补充练习】</w:t>
      </w:r>
    </w:p>
    <w:p>
      <w:pPr>
        <w:spacing w:line="240" w:lineRule="auto"/>
        <w:jc w:val="left"/>
        <w:textAlignment w:val="center"/>
        <w:rPr>
          <w:color w:val="000000"/>
        </w:rPr>
      </w:pPr>
      <w:r>
        <w:rPr>
          <w:rFonts w:hint="eastAsia"/>
          <w:color w:val="000000"/>
          <w:lang w:val="en-US" w:eastAsia="zh-CN"/>
        </w:rPr>
        <w:t>1</w:t>
      </w:r>
      <w:r>
        <w:rPr>
          <w:color w:val="000000"/>
        </w:rPr>
        <w:t xml:space="preserve">. </w:t>
      </w:r>
      <w:r>
        <w:rPr>
          <w:rFonts w:ascii="宋体" w:hAnsi="宋体" w:eastAsia="宋体" w:cs="宋体"/>
          <w:color w:val="000000"/>
        </w:rPr>
        <w:t>阅读材料，完成下列问题。</w:t>
      </w:r>
    </w:p>
    <w:p>
      <w:pPr>
        <w:spacing w:line="240" w:lineRule="auto"/>
        <w:ind w:firstLine="420"/>
        <w:jc w:val="left"/>
        <w:textAlignment w:val="center"/>
        <w:rPr>
          <w:color w:val="000000"/>
        </w:rPr>
      </w:pPr>
      <w:r>
        <w:rPr>
          <w:rFonts w:ascii="楷体" w:hAnsi="楷体" w:eastAsia="楷体" w:cs="楷体"/>
          <w:color w:val="000000"/>
        </w:rPr>
        <w:t>材料一兰州是我国唯一一座黄河穿城而过的城市，兰州地区在距今约5000年前的新石器时期便有先民定居，河流阶地和黄土地貌形成了兰州独特的地貌景观，为原始聚落形成提供了良好条件。21世纪兰州快速城镇化带来了严重的发展空间危机，该地被称为“一个被填满的盆地”。</w:t>
      </w:r>
    </w:p>
    <w:p>
      <w:pPr>
        <w:spacing w:line="240" w:lineRule="auto"/>
        <w:ind w:firstLine="420"/>
        <w:jc w:val="left"/>
        <w:textAlignment w:val="center"/>
        <w:rPr>
          <w:color w:val="000000"/>
        </w:rPr>
      </w:pPr>
      <w:r>
        <w:rPr>
          <w:rFonts w:ascii="楷体" w:hAnsi="楷体" w:eastAsia="楷体" w:cs="楷体"/>
          <w:color w:val="000000"/>
        </w:rPr>
        <w:t>村料二下图分别为新石器时期人类聚落遗址和现代聚落分布图。</w:t>
      </w:r>
    </w:p>
    <w:p>
      <w:pPr>
        <w:spacing w:line="240" w:lineRule="auto"/>
        <w:jc w:val="center"/>
        <w:textAlignment w:val="center"/>
        <w:rPr>
          <w:color w:val="000000"/>
        </w:rPr>
      </w:pPr>
      <w:r>
        <w:rPr>
          <w:color w:val="000000"/>
        </w:rPr>
        <w:drawing>
          <wp:inline distT="0" distB="0" distL="114300" distR="114300">
            <wp:extent cx="3381375" cy="13620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381375" cy="1362075"/>
                    </a:xfrm>
                    <a:prstGeom prst="rect">
                      <a:avLst/>
                    </a:prstGeom>
                  </pic:spPr>
                </pic:pic>
              </a:graphicData>
            </a:graphic>
          </wp:inline>
        </w:drawing>
      </w:r>
    </w:p>
    <w:p>
      <w:pPr>
        <w:spacing w:line="240" w:lineRule="auto"/>
        <w:jc w:val="left"/>
        <w:textAlignment w:val="center"/>
        <w:rPr>
          <w:color w:val="000000"/>
        </w:rPr>
      </w:pPr>
      <w:r>
        <w:rPr>
          <w:color w:val="000000"/>
        </w:rPr>
        <w:t>（1）</w:t>
      </w:r>
      <w:r>
        <w:rPr>
          <w:rFonts w:ascii="宋体" w:hAnsi="宋体" w:eastAsia="宋体" w:cs="宋体"/>
          <w:color w:val="000000"/>
        </w:rPr>
        <w:t>推测兰州盆地河流阶地和黄土地貌形成的共同外力作用是</w:t>
      </w:r>
      <w:r>
        <w:rPr>
          <w:color w:val="000000"/>
        </w:rPr>
        <w:t>____________</w:t>
      </w:r>
      <w:r>
        <w:rPr>
          <w:rFonts w:ascii="宋体" w:hAnsi="宋体" w:eastAsia="宋体" w:cs="宋体"/>
          <w:color w:val="000000"/>
        </w:rPr>
        <w:t>。影响现代聚落与新石器时期人类聚落遗址分布的共同区位因素主要有</w:t>
      </w:r>
      <w:r>
        <w:rPr>
          <w:color w:val="000000"/>
        </w:rPr>
        <w:t>____________</w:t>
      </w:r>
      <w:r>
        <w:rPr>
          <w:rFonts w:ascii="宋体" w:hAnsi="宋体" w:eastAsia="宋体" w:cs="宋体"/>
          <w:color w:val="000000"/>
        </w:rPr>
        <w:t>和</w:t>
      </w:r>
      <w:r>
        <w:rPr>
          <w:color w:val="000000"/>
        </w:rPr>
        <w:t>___________</w:t>
      </w:r>
      <w:r>
        <w:rPr>
          <w:rFonts w:ascii="宋体" w:hAnsi="宋体" w:eastAsia="宋体" w:cs="宋体"/>
          <w:color w:val="000000"/>
        </w:rPr>
        <w:t>。</w:t>
      </w:r>
    </w:p>
    <w:p>
      <w:pPr>
        <w:spacing w:line="240" w:lineRule="auto"/>
        <w:jc w:val="left"/>
        <w:textAlignment w:val="center"/>
        <w:rPr>
          <w:color w:val="000000"/>
        </w:rPr>
      </w:pPr>
      <w:r>
        <w:rPr>
          <w:color w:val="000000"/>
        </w:rPr>
        <w:t>（2）</w:t>
      </w:r>
      <w:r>
        <w:rPr>
          <w:rFonts w:ascii="宋体" w:hAnsi="宋体" w:eastAsia="宋体" w:cs="宋体"/>
          <w:color w:val="000000"/>
        </w:rPr>
        <w:t>随着碳中和理念深入贯彻，该区域可重点开发的可再生能源是</w:t>
      </w:r>
      <w:r>
        <w:rPr>
          <w:color w:val="000000"/>
        </w:rPr>
        <w:t>____________</w:t>
      </w:r>
      <w:r>
        <w:rPr>
          <w:rFonts w:ascii="宋体" w:hAnsi="宋体" w:eastAsia="宋体" w:cs="宋体"/>
          <w:color w:val="000000"/>
        </w:rPr>
        <w:t>和</w:t>
      </w:r>
      <w:r>
        <w:rPr>
          <w:color w:val="000000"/>
        </w:rPr>
        <w:t>____________</w:t>
      </w:r>
      <w:r>
        <w:rPr>
          <w:rFonts w:ascii="宋体" w:hAnsi="宋体" w:eastAsia="宋体" w:cs="宋体"/>
          <w:color w:val="000000"/>
        </w:rPr>
        <w:t>。</w:t>
      </w:r>
    </w:p>
    <w:p>
      <w:pPr>
        <w:spacing w:line="240" w:lineRule="auto"/>
        <w:jc w:val="left"/>
        <w:textAlignment w:val="center"/>
        <w:rPr>
          <w:color w:val="000000"/>
        </w:rPr>
      </w:pPr>
      <w:r>
        <w:rPr>
          <w:color w:val="000000"/>
        </w:rPr>
        <w:t>（3）</w:t>
      </w:r>
      <w:r>
        <w:rPr>
          <w:rFonts w:ascii="宋体" w:hAnsi="宋体" w:eastAsia="宋体" w:cs="宋体"/>
          <w:color w:val="000000"/>
        </w:rPr>
        <w:t>兰州在老城区北面的秦王川兴建了兰州新区，计划将地处老城区的兰州石化搬迁至此试分析其搬迁的原因。</w:t>
      </w:r>
      <w:r>
        <w:rPr>
          <w:color w:val="000000"/>
        </w:rPr>
        <w:t>______________________________________________________________________________________________________________________________________________________________________________________</w:t>
      </w:r>
    </w:p>
    <w:p>
      <w:pPr>
        <w:spacing w:line="240" w:lineRule="auto"/>
        <w:jc w:val="left"/>
        <w:textAlignment w:val="center"/>
        <w:rPr>
          <w:color w:val="000000"/>
        </w:rPr>
      </w:pPr>
      <w:r>
        <w:rPr>
          <w:rFonts w:hint="eastAsia"/>
          <w:color w:val="000000"/>
          <w:lang w:val="en-US" w:eastAsia="zh-CN"/>
        </w:rPr>
        <w:t>2</w:t>
      </w:r>
      <w:r>
        <w:rPr>
          <w:color w:val="000000"/>
        </w:rPr>
        <w:t xml:space="preserve">. </w:t>
      </w:r>
      <w:r>
        <w:rPr>
          <w:rFonts w:ascii="宋体" w:hAnsi="宋体" w:eastAsia="宋体" w:cs="宋体"/>
          <w:color w:val="000000"/>
        </w:rPr>
        <w:t>阅读材料，完成下列问题。</w:t>
      </w:r>
    </w:p>
    <w:p>
      <w:pPr>
        <w:spacing w:line="240" w:lineRule="auto"/>
        <w:ind w:firstLine="420"/>
        <w:jc w:val="left"/>
        <w:textAlignment w:val="center"/>
        <w:rPr>
          <w:color w:val="000000"/>
        </w:rPr>
      </w:pPr>
      <w:r>
        <w:rPr>
          <w:rFonts w:ascii="楷体" w:hAnsi="楷体" w:eastAsia="楷体" w:cs="楷体"/>
          <w:color w:val="000000"/>
        </w:rPr>
        <w:t>材料一  “易地扶贫搬迁”是通过对生活在不适宜人类生存地区的贫困人口实施搬迁，达到消除贫困和政善生态的双重目标。藏南河谷区作为西藏自然条件相对优越和工求业相对发达的区域，成为西藏易地扶贫搬迁的主要迁入区。藏南河谷区的林周县白朗村原住户I38户，到2019年末迁入住户157户。</w:t>
      </w:r>
    </w:p>
    <w:p>
      <w:pPr>
        <w:spacing w:line="240" w:lineRule="auto"/>
        <w:ind w:firstLine="420"/>
        <w:jc w:val="left"/>
        <w:textAlignment w:val="center"/>
        <w:rPr>
          <w:color w:val="000000"/>
        </w:rPr>
      </w:pPr>
      <w:r>
        <w:rPr>
          <w:rFonts w:ascii="楷体" w:hAnsi="楷体" w:eastAsia="楷体" w:cs="楷体"/>
          <w:color w:val="000000"/>
        </w:rPr>
        <w:t>材料二  下图是白朗村作为迁入区前后的土地利用分布图。</w:t>
      </w:r>
    </w:p>
    <w:p>
      <w:pPr>
        <w:spacing w:line="240" w:lineRule="auto"/>
        <w:jc w:val="center"/>
        <w:textAlignment w:val="center"/>
        <w:rPr>
          <w:color w:val="000000"/>
        </w:rPr>
      </w:pPr>
      <w:r>
        <w:rPr>
          <w:color w:val="000000"/>
        </w:rPr>
        <w:drawing>
          <wp:inline distT="0" distB="0" distL="114300" distR="114300">
            <wp:extent cx="2065655" cy="1193800"/>
            <wp:effectExtent l="0" t="0" r="10795" b="635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065655" cy="1193800"/>
                    </a:xfrm>
                    <a:prstGeom prst="rect">
                      <a:avLst/>
                    </a:prstGeom>
                  </pic:spPr>
                </pic:pic>
              </a:graphicData>
            </a:graphic>
          </wp:inline>
        </w:drawing>
      </w:r>
    </w:p>
    <w:p>
      <w:pPr>
        <w:spacing w:line="240" w:lineRule="auto"/>
        <w:jc w:val="left"/>
        <w:textAlignment w:val="center"/>
        <w:rPr>
          <w:color w:val="000000"/>
        </w:rPr>
      </w:pPr>
      <w:r>
        <w:rPr>
          <w:color w:val="000000"/>
        </w:rPr>
        <w:t>（1）</w:t>
      </w:r>
      <w:r>
        <w:rPr>
          <w:rFonts w:ascii="宋体" w:hAnsi="宋体" w:eastAsia="宋体" w:cs="宋体"/>
          <w:color w:val="000000"/>
        </w:rPr>
        <w:t>藏南河谷区作为迁入区的优势自然因素有</w:t>
      </w:r>
      <w:r>
        <w:rPr>
          <w:color w:val="000000"/>
        </w:rPr>
        <w:t>____________</w:t>
      </w:r>
      <w:r>
        <w:rPr>
          <w:rFonts w:ascii="宋体" w:hAnsi="宋体" w:eastAsia="宋体" w:cs="宋体"/>
          <w:color w:val="000000"/>
        </w:rPr>
        <w:t>、</w:t>
      </w:r>
      <w:r>
        <w:rPr>
          <w:color w:val="000000"/>
        </w:rPr>
        <w:t>____________</w:t>
      </w:r>
      <w:r>
        <w:rPr>
          <w:rFonts w:ascii="宋体" w:hAnsi="宋体" w:eastAsia="宋体" w:cs="宋体"/>
          <w:color w:val="000000"/>
        </w:rPr>
        <w:t>和</w:t>
      </w:r>
      <w:r>
        <w:rPr>
          <w:color w:val="000000"/>
        </w:rPr>
        <w:t>_____________</w:t>
      </w:r>
      <w:r>
        <w:rPr>
          <w:rFonts w:ascii="宋体" w:hAnsi="宋体" w:eastAsia="宋体" w:cs="宋体"/>
          <w:color w:val="000000"/>
        </w:rPr>
        <w:t>。</w:t>
      </w:r>
    </w:p>
    <w:p>
      <w:pPr>
        <w:spacing w:line="240" w:lineRule="auto"/>
        <w:jc w:val="left"/>
        <w:textAlignment w:val="center"/>
        <w:rPr>
          <w:color w:val="000000"/>
        </w:rPr>
      </w:pPr>
      <w:r>
        <w:rPr>
          <w:color w:val="000000"/>
        </w:rPr>
        <w:t>（2）</w:t>
      </w:r>
      <w:r>
        <w:rPr>
          <w:rFonts w:ascii="宋体" w:hAnsi="宋体" w:eastAsia="宋体" w:cs="宋体"/>
          <w:color w:val="000000"/>
        </w:rPr>
        <w:t>白朗村在移民迁入前后士地利用类型变化主要表现为林地、草地</w:t>
      </w:r>
      <w:r>
        <w:rPr>
          <w:color w:val="000000"/>
        </w:rPr>
        <w:t>____________</w:t>
      </w:r>
      <w:r>
        <w:rPr>
          <w:rFonts w:ascii="宋体" w:hAnsi="宋体" w:eastAsia="宋体" w:cs="宋体"/>
          <w:color w:val="000000"/>
        </w:rPr>
        <w:t>、耕地、建设用地</w:t>
      </w:r>
      <w:r>
        <w:rPr>
          <w:color w:val="000000"/>
        </w:rPr>
        <w:t>____________</w:t>
      </w:r>
      <w:r>
        <w:rPr>
          <w:rFonts w:ascii="宋体" w:hAnsi="宋体" w:eastAsia="宋体" w:cs="宋体"/>
          <w:color w:val="000000"/>
        </w:rPr>
        <w:t>。</w:t>
      </w:r>
    </w:p>
    <w:p>
      <w:pPr>
        <w:spacing w:line="240" w:lineRule="auto"/>
        <w:jc w:val="left"/>
        <w:textAlignment w:val="center"/>
        <w:rPr>
          <w:color w:val="000000"/>
        </w:rPr>
      </w:pPr>
      <w:r>
        <w:rPr>
          <w:color w:val="000000"/>
        </w:rPr>
        <w:t>（3）</w:t>
      </w:r>
      <w:r>
        <w:rPr>
          <w:rFonts w:ascii="宋体" w:hAnsi="宋体" w:eastAsia="宋体" w:cs="宋体"/>
          <w:color w:val="000000"/>
        </w:rPr>
        <w:t>简述西藏实施“易地扶贫搬迁”</w:t>
      </w:r>
      <w:r>
        <w:rPr>
          <w:rFonts w:ascii="宋体" w:hAnsi="宋体" w:eastAsia="宋体" w:cs="宋体"/>
          <w:color w:val="000000"/>
          <w:position w:val="0"/>
        </w:rPr>
        <w:drawing>
          <wp:inline distT="0" distB="0" distL="114300" distR="114300">
            <wp:extent cx="133350" cy="177800"/>
            <wp:effectExtent l="0" t="0" r="0" b="1333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地理意义。</w:t>
      </w:r>
      <w:r>
        <w:rPr>
          <w:color w:val="000000"/>
        </w:rPr>
        <w:t>___________________________________________________________________________________</w:t>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lang w:val="zh-CN" w:eastAsia="zh-CN"/>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0C52624"/>
    <w:rsid w:val="023E07DF"/>
    <w:rsid w:val="06307159"/>
    <w:rsid w:val="07526D2A"/>
    <w:rsid w:val="08742BDA"/>
    <w:rsid w:val="08853FFD"/>
    <w:rsid w:val="08932218"/>
    <w:rsid w:val="0F6C74DE"/>
    <w:rsid w:val="121D3BF2"/>
    <w:rsid w:val="123D4FD6"/>
    <w:rsid w:val="126C5711"/>
    <w:rsid w:val="13250FB0"/>
    <w:rsid w:val="141742C6"/>
    <w:rsid w:val="143F60A1"/>
    <w:rsid w:val="199E7D0E"/>
    <w:rsid w:val="1E432C32"/>
    <w:rsid w:val="1EBB0A1A"/>
    <w:rsid w:val="20B174CF"/>
    <w:rsid w:val="20DC5095"/>
    <w:rsid w:val="21A155D3"/>
    <w:rsid w:val="22D57F14"/>
    <w:rsid w:val="29491793"/>
    <w:rsid w:val="34A75871"/>
    <w:rsid w:val="36617D4E"/>
    <w:rsid w:val="387F5F5E"/>
    <w:rsid w:val="387F7F24"/>
    <w:rsid w:val="3D985FDD"/>
    <w:rsid w:val="41057275"/>
    <w:rsid w:val="431E7646"/>
    <w:rsid w:val="46B14094"/>
    <w:rsid w:val="4BD016F9"/>
    <w:rsid w:val="52193EB6"/>
    <w:rsid w:val="59E6664E"/>
    <w:rsid w:val="60E34E2E"/>
    <w:rsid w:val="62052DB0"/>
    <w:rsid w:val="639210F8"/>
    <w:rsid w:val="6A4E07C1"/>
    <w:rsid w:val="71D86A2F"/>
    <w:rsid w:val="73016438"/>
    <w:rsid w:val="778F3604"/>
    <w:rsid w:val="78FB0DC0"/>
    <w:rsid w:val="7949531A"/>
    <w:rsid w:val="7CC62CA9"/>
    <w:rsid w:val="7F623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 Spacing"/>
    <w:basedOn w:val="1"/>
    <w:qFormat/>
    <w:uiPriority w:val="1"/>
    <w:rPr>
      <w:sz w:val="22"/>
      <w:szCs w:val="22"/>
      <w:lang w:val="en-US" w:eastAsia="zh-CN" w:bidi="ar-SA"/>
    </w:rPr>
  </w:style>
  <w:style w:type="paragraph" w:styleId="4">
    <w:name w:val="Plain Text"/>
    <w:basedOn w:val="1"/>
    <w:next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customStyle="1" w:styleId="10">
    <w:name w:val="Normal_2"/>
    <w:qFormat/>
    <w:uiPriority w:val="0"/>
    <w:pPr>
      <w:spacing w:before="120" w:after="240"/>
      <w:jc w:val="both"/>
    </w:pPr>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5864</Words>
  <Characters>6064</Characters>
  <Lines>0</Lines>
  <Paragraphs>0</Paragraphs>
  <TotalTime>0</TotalTime>
  <ScaleCrop>false</ScaleCrop>
  <LinksUpToDate>false</LinksUpToDate>
  <CharactersWithSpaces>6386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2023-02-23T02:05:49Z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FED50A6072D84148B5561AEA5962AEE2</vt:lpwstr>
  </property>
</Properties>
</file>