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eastAsia" w:ascii="黑体" w:hAnsi="黑体" w:eastAsia="黑体" w:cs="黑体"/>
          <w:b/>
          <w:bCs/>
          <w:kern w:val="0"/>
          <w:sz w:val="28"/>
          <w:szCs w:val="28"/>
          <w:u w:val="none"/>
          <w:lang w:val="en-US" w:eastAsia="zh-CN" w:bidi="zh-CN"/>
        </w:rPr>
      </w:pPr>
      <w:r>
        <w:rPr>
          <w:rFonts w:hint="eastAsia" w:ascii="黑体" w:hAnsi="黑体" w:eastAsia="黑体" w:cs="黑体"/>
          <w:b/>
          <w:bCs/>
          <w:sz w:val="28"/>
          <w:szCs w:val="28"/>
          <w:u w:val="none"/>
        </w:rPr>
        <w:t>江苏省仪征中学202</w:t>
      </w:r>
      <w:r>
        <w:rPr>
          <w:rFonts w:hint="eastAsia" w:ascii="黑体" w:hAnsi="黑体" w:eastAsia="黑体" w:cs="黑体"/>
          <w:b/>
          <w:bCs/>
          <w:sz w:val="28"/>
          <w:szCs w:val="28"/>
          <w:u w:val="none"/>
          <w:lang w:val="en-US" w:eastAsia="zh-CN"/>
        </w:rPr>
        <w:t>2</w:t>
      </w:r>
      <w:r>
        <w:rPr>
          <w:rFonts w:hint="eastAsia" w:ascii="黑体" w:hAnsi="黑体" w:eastAsia="黑体" w:cs="黑体"/>
          <w:b/>
          <w:bCs/>
          <w:sz w:val="28"/>
          <w:szCs w:val="28"/>
          <w:u w:val="none"/>
        </w:rPr>
        <w:t>-202</w:t>
      </w:r>
      <w:r>
        <w:rPr>
          <w:rFonts w:hint="eastAsia" w:ascii="黑体" w:hAnsi="黑体" w:eastAsia="黑体" w:cs="黑体"/>
          <w:b/>
          <w:bCs/>
          <w:sz w:val="28"/>
          <w:szCs w:val="28"/>
          <w:u w:val="none"/>
          <w:lang w:val="en-US" w:eastAsia="zh-CN"/>
        </w:rPr>
        <w:t>3</w:t>
      </w:r>
      <w:r>
        <w:rPr>
          <w:rFonts w:hint="eastAsia" w:ascii="黑体" w:hAnsi="黑体" w:eastAsia="黑体" w:cs="黑体"/>
          <w:b/>
          <w:bCs/>
          <w:sz w:val="28"/>
          <w:szCs w:val="28"/>
          <w:u w:val="none"/>
        </w:rPr>
        <w:t>学年度第一学期高</w:t>
      </w:r>
      <w:r>
        <w:rPr>
          <w:rFonts w:hint="eastAsia" w:ascii="黑体" w:hAnsi="黑体" w:eastAsia="黑体" w:cs="黑体"/>
          <w:b/>
          <w:bCs/>
          <w:sz w:val="28"/>
          <w:szCs w:val="28"/>
          <w:u w:val="none"/>
          <w:lang w:eastAsia="zh-CN"/>
        </w:rPr>
        <w:t>二地理</w:t>
      </w:r>
      <w:r>
        <w:rPr>
          <w:rFonts w:hint="eastAsia" w:ascii="黑体" w:hAnsi="黑体" w:eastAsia="黑体" w:cs="黑体"/>
          <w:b/>
          <w:bCs/>
          <w:sz w:val="28"/>
          <w:szCs w:val="28"/>
          <w:u w:val="none"/>
        </w:rPr>
        <w:t>学科导学案</w:t>
      </w:r>
    </w:p>
    <w:p>
      <w:pPr>
        <w:autoSpaceDE w:val="0"/>
        <w:autoSpaceDN w:val="0"/>
        <w:jc w:val="center"/>
        <w:rPr>
          <w:rFonts w:hint="eastAsia" w:ascii="黑体" w:hAnsi="黑体" w:eastAsia="黑体" w:cs="黑体"/>
          <w:b/>
          <w:bCs/>
          <w:sz w:val="28"/>
          <w:szCs w:val="28"/>
          <w:u w:val="none"/>
          <w:lang w:val="en-US" w:eastAsia="zh-CN"/>
        </w:rPr>
      </w:pPr>
      <w:r>
        <w:rPr>
          <w:rFonts w:hint="eastAsia" w:ascii="黑体" w:hAnsi="黑体" w:eastAsia="黑体" w:cs="黑体"/>
          <w:b/>
          <w:bCs/>
          <w:sz w:val="28"/>
          <w:szCs w:val="28"/>
          <w:u w:val="none"/>
          <w:lang w:val="en-US" w:eastAsia="zh-CN"/>
        </w:rPr>
        <w:t>课时18　农业区位因素</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jc w:val="both"/>
        <w:rPr>
          <w:rFonts w:hint="default" w:ascii="楷体" w:hAnsi="楷体" w:eastAsia="楷体" w:cs="楷体"/>
          <w:b/>
          <w:bCs/>
          <w:sz w:val="24"/>
          <w:u w:val="none"/>
          <w:lang w:val="en-US" w:eastAsia="zh-CN"/>
        </w:rPr>
      </w:pPr>
      <w:r>
        <w:rPr>
          <w:rFonts w:hint="eastAsia" w:ascii="楷体" w:hAnsi="楷体" w:eastAsia="楷体" w:cs="楷体"/>
          <w:bCs/>
          <w:sz w:val="24"/>
        </w:rPr>
        <w:t>班级：__________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姓名：__________</w:t>
      </w:r>
      <w:r>
        <w:rPr>
          <w:rFonts w:hint="eastAsia" w:ascii="楷体" w:hAnsi="楷体" w:eastAsia="楷体" w:cs="楷体"/>
          <w:bCs/>
          <w:sz w:val="24"/>
          <w:lang w:val="en-US" w:eastAsia="zh-CN"/>
        </w:rPr>
        <w:t xml:space="preserve"> </w:t>
      </w:r>
      <w:r>
        <w:rPr>
          <w:rFonts w:hint="eastAsia" w:ascii="楷体" w:hAnsi="楷体" w:eastAsia="楷体" w:cs="楷体"/>
          <w:bCs/>
          <w:sz w:val="24"/>
        </w:rPr>
        <w:t>学号：________</w:t>
      </w:r>
      <w:r>
        <w:rPr>
          <w:rFonts w:hint="eastAsia" w:ascii="楷体" w:hAnsi="楷体" w:eastAsia="楷体" w:cs="楷体"/>
          <w:bCs/>
          <w:sz w:val="24"/>
          <w:lang w:val="en-US" w:eastAsia="zh-CN"/>
        </w:rPr>
        <w:t xml:space="preserve"> </w:t>
      </w:r>
      <w:r>
        <w:rPr>
          <w:rFonts w:hint="eastAsia" w:ascii="楷体" w:hAnsi="楷体" w:eastAsia="楷体" w:cs="楷体"/>
          <w:bCs/>
          <w:sz w:val="24"/>
        </w:rPr>
        <w:t>授课日期：</w:t>
      </w:r>
      <w:r>
        <w:rPr>
          <w:rFonts w:hint="eastAsia" w:ascii="楷体" w:hAnsi="楷体" w:eastAsia="楷体" w:cs="楷体"/>
          <w:bCs/>
          <w:sz w:val="24"/>
          <w:lang w:val="en-US" w:eastAsia="zh-CN"/>
        </w:rPr>
        <w:t>2022</w:t>
      </w:r>
      <w:r>
        <w:rPr>
          <w:rFonts w:hint="eastAsia" w:ascii="楷体" w:hAnsi="楷体" w:eastAsia="楷体" w:cs="楷体"/>
          <w:bCs/>
          <w:sz w:val="24"/>
          <w:u w:val="none"/>
          <w:lang w:val="en-US" w:eastAsia="zh-CN"/>
        </w:rPr>
        <w:t>年11月30日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sz w:val="21"/>
          <w:szCs w:val="21"/>
          <w:u w:val="single"/>
          <w:lang w:val="en-US" w:eastAsia="zh-CN"/>
        </w:rPr>
      </w:pPr>
      <w:r>
        <w:rPr>
          <w:rFonts w:hint="eastAsia" w:ascii="宋体" w:hAnsi="宋体" w:eastAsia="宋体" w:cs="宋体"/>
          <w:b/>
          <w:sz w:val="21"/>
          <w:szCs w:val="21"/>
        </w:rPr>
        <w:t>【课程标准及要求】</w:t>
      </w:r>
    </w:p>
    <w:tbl>
      <w:tblPr>
        <w:tblStyle w:val="8"/>
        <w:tblpPr w:leftFromText="180" w:rightFromText="180" w:vertAnchor="text" w:horzAnchor="page" w:tblpX="833" w:tblpY="188"/>
        <w:tblOverlap w:val="never"/>
        <w:tblW w:w="500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750"/>
        <w:gridCol w:w="4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2144" w:type="pct"/>
          </w:tcPr>
          <w:p>
            <w:pPr>
              <w:keepNext w:val="0"/>
              <w:keepLines w:val="0"/>
              <w:pageBreakBefore w:val="0"/>
              <w:widowControl w:val="0"/>
              <w:kinsoku/>
              <w:wordWrap/>
              <w:overflowPunct/>
              <w:topLinePunct w:val="0"/>
              <w:autoSpaceDE w:val="0"/>
              <w:autoSpaceDN w:val="0"/>
              <w:bidi w:val="0"/>
              <w:adjustRightInd/>
              <w:snapToGrid/>
              <w:spacing w:line="240" w:lineRule="auto"/>
              <w:ind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en-US" w:bidi="zh-CN"/>
              </w:rPr>
              <w:t xml:space="preserve">   </w:t>
            </w:r>
            <w:r>
              <w:rPr>
                <w:rFonts w:hint="eastAsia" w:ascii="宋体" w:hAnsi="宋体" w:eastAsia="宋体" w:cs="宋体"/>
                <w:bCs/>
                <w:sz w:val="21"/>
                <w:szCs w:val="21"/>
                <w:lang w:val="zh-CN" w:bidi="zh-CN"/>
              </w:rPr>
              <w:t>课程标准</w:t>
            </w:r>
          </w:p>
        </w:tc>
        <w:tc>
          <w:tcPr>
            <w:tcW w:w="2855" w:type="pct"/>
          </w:tcPr>
          <w:p>
            <w:pPr>
              <w:keepNext w:val="0"/>
              <w:keepLines w:val="0"/>
              <w:pageBreakBefore w:val="0"/>
              <w:widowControl w:val="0"/>
              <w:kinsoku/>
              <w:wordWrap/>
              <w:overflowPunct/>
              <w:topLinePunct w:val="0"/>
              <w:autoSpaceDE w:val="0"/>
              <w:autoSpaceDN w:val="0"/>
              <w:bidi w:val="0"/>
              <w:adjustRightInd/>
              <w:snapToGrid/>
              <w:spacing w:line="240" w:lineRule="auto"/>
              <w:ind w:left="1048" w:right="1038"/>
              <w:jc w:val="center"/>
              <w:textAlignment w:val="auto"/>
              <w:rPr>
                <w:rFonts w:hint="eastAsia" w:ascii="宋体" w:hAnsi="宋体" w:eastAsia="宋体" w:cs="宋体"/>
                <w:bCs/>
                <w:sz w:val="21"/>
                <w:szCs w:val="21"/>
                <w:lang w:val="zh-CN" w:bidi="zh-CN"/>
              </w:rPr>
            </w:pPr>
            <w:r>
              <w:rPr>
                <w:rFonts w:hint="eastAsia" w:ascii="宋体" w:hAnsi="宋体" w:eastAsia="宋体" w:cs="宋体"/>
                <w:bCs/>
                <w:sz w:val="21"/>
                <w:szCs w:val="21"/>
                <w:lang w:val="zh-CN" w:bidi="zh-CN"/>
              </w:rPr>
              <w:t>学习目标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2144" w:type="pct"/>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Cs/>
                <w:sz w:val="21"/>
                <w:szCs w:val="21"/>
                <w:lang w:eastAsia="zh-CN"/>
              </w:rPr>
            </w:pPr>
            <w:r>
              <w:rPr>
                <w:rFonts w:ascii="Times New Roman" w:hAnsi="Times New Roman" w:cs="Times New Roman"/>
              </w:rPr>
              <w:t>结合实例，说明农业的区位因素</w:t>
            </w:r>
          </w:p>
        </w:tc>
        <w:tc>
          <w:tcPr>
            <w:tcW w:w="2855" w:type="pct"/>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ascii="Times New Roman" w:hAnsi="Times New Roman" w:cs="Times New Roman"/>
              </w:rPr>
              <w:t>影响农业的主要区位因素及农业区位因素的选择</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ascii="Times New Roman" w:hAnsi="Times New Roman" w:cs="Times New Roman"/>
              </w:rPr>
              <w:t>农业的合理布局</w:t>
            </w:r>
          </w:p>
        </w:tc>
      </w:tr>
    </w:tbl>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sz w:val="21"/>
          <w:szCs w:val="21"/>
        </w:rPr>
      </w:pPr>
      <w:r>
        <w:rPr>
          <w:rFonts w:hint="eastAsia" w:ascii="宋体" w:hAnsi="宋体" w:eastAsia="宋体" w:cs="宋体"/>
          <w:b/>
          <w:sz w:val="21"/>
          <w:szCs w:val="21"/>
        </w:rPr>
        <w:t>【导读——读教材</w:t>
      </w:r>
      <w:r>
        <w:rPr>
          <w:rFonts w:hint="eastAsia" w:ascii="宋体" w:hAnsi="宋体" w:eastAsia="宋体" w:cs="宋体"/>
          <w:b/>
          <w:sz w:val="21"/>
          <w:szCs w:val="21"/>
          <w:lang w:eastAsia="zh-CN"/>
        </w:rPr>
        <w:t>，夯</w:t>
      </w:r>
      <w:r>
        <w:rPr>
          <w:rFonts w:hint="eastAsia" w:ascii="宋体" w:hAnsi="宋体" w:eastAsia="宋体" w:cs="宋体"/>
          <w:b/>
          <w:sz w:val="21"/>
          <w:szCs w:val="21"/>
        </w:rPr>
        <w:t xml:space="preserve">基础】 </w:t>
      </w:r>
    </w:p>
    <w:p>
      <w:pPr>
        <w:keepNext w:val="0"/>
        <w:keepLines w:val="0"/>
        <w:pageBreakBefore w:val="0"/>
        <w:widowControl w:val="0"/>
        <w:kinsoku/>
        <w:wordWrap/>
        <w:overflowPunct/>
        <w:topLinePunct w:val="0"/>
        <w:autoSpaceDE w:val="0"/>
        <w:autoSpaceDN w:val="0"/>
        <w:bidi w:val="0"/>
        <w:adjustRightInd/>
        <w:spacing w:line="240" w:lineRule="auto"/>
        <w:jc w:val="both"/>
        <w:textAlignment w:val="auto"/>
        <w:rPr>
          <w:rFonts w:hint="eastAsia" w:ascii="宋体" w:hAnsi="宋体" w:eastAsia="宋体" w:cs="宋体"/>
          <w:b/>
          <w:bCs/>
          <w:sz w:val="21"/>
          <w:szCs w:val="21"/>
          <w:lang w:val="zh-CN" w:bidi="zh-CN"/>
        </w:rPr>
      </w:pPr>
      <w:r>
        <w:rPr>
          <w:rFonts w:hint="eastAsia" w:ascii="宋体" w:hAnsi="宋体" w:eastAsia="宋体" w:cs="宋体"/>
          <w:b w:val="0"/>
          <w:bCs/>
          <w:sz w:val="21"/>
          <w:szCs w:val="21"/>
          <w:lang w:eastAsia="zh-CN"/>
        </w:rPr>
        <w:t>阅读必修二教材第三单元“</w:t>
      </w:r>
      <w:r>
        <w:rPr>
          <w:rFonts w:hint="eastAsia" w:ascii="宋体" w:hAnsi="宋体" w:eastAsia="宋体" w:cs="宋体"/>
          <w:b w:val="0"/>
          <w:bCs/>
          <w:sz w:val="21"/>
          <w:szCs w:val="21"/>
          <w:lang w:val="en-US" w:eastAsia="zh-CN"/>
        </w:rPr>
        <w:t>农业区位因素</w:t>
      </w:r>
      <w:r>
        <w:rPr>
          <w:rFonts w:hint="eastAsia" w:ascii="宋体" w:hAnsi="宋体" w:eastAsia="宋体" w:cs="宋体"/>
          <w:b w:val="0"/>
          <w:bCs/>
          <w:sz w:val="21"/>
          <w:szCs w:val="21"/>
          <w:lang w:eastAsia="zh-CN"/>
        </w:rPr>
        <w:t>”</w:t>
      </w:r>
    </w:p>
    <w:p>
      <w:pPr>
        <w:keepNext w:val="0"/>
        <w:keepLines w:val="0"/>
        <w:pageBreakBefore w:val="0"/>
        <w:widowControl w:val="0"/>
        <w:tabs>
          <w:tab w:val="left" w:pos="7383"/>
        </w:tabs>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【导学</w:t>
      </w:r>
      <w:r>
        <w:rPr>
          <w:rFonts w:hint="eastAsia" w:ascii="宋体" w:hAnsi="宋体" w:eastAsia="宋体" w:cs="宋体"/>
          <w:b/>
          <w:sz w:val="21"/>
          <w:szCs w:val="21"/>
        </w:rPr>
        <w:t>——</w:t>
      </w:r>
      <w:r>
        <w:rPr>
          <w:rFonts w:hint="eastAsia" w:ascii="宋体" w:hAnsi="宋体" w:eastAsia="宋体" w:cs="宋体"/>
          <w:b/>
          <w:bCs/>
          <w:sz w:val="21"/>
          <w:szCs w:val="21"/>
          <w:lang w:val="zh-CN" w:bidi="zh-CN"/>
        </w:rPr>
        <w:t>培素养，引价值】</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一、 农业区位因素</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 农业的区位有两层含义：一是指农业生产所选定的________；二是指农业与________</w:t>
      </w:r>
      <w:r>
        <w:rPr>
          <w:rFonts w:hint="eastAsia" w:ascii="宋体" w:hAnsi="宋体" w:eastAsia="宋体" w:cs="宋体"/>
          <w:sz w:val="21"/>
          <w:szCs w:val="21"/>
          <w:lang w:eastAsia="zh-CN"/>
        </w:rPr>
        <w:t>（</w:t>
      </w:r>
      <w:r>
        <w:rPr>
          <w:rFonts w:hint="eastAsia" w:ascii="宋体" w:hAnsi="宋体" w:eastAsia="宋体" w:cs="宋体"/>
          <w:sz w:val="21"/>
          <w:szCs w:val="21"/>
        </w:rPr>
        <w:t>包括自然环境和社会环境</w:t>
      </w:r>
      <w:r>
        <w:rPr>
          <w:rFonts w:hint="eastAsia" w:ascii="宋体" w:hAnsi="宋体" w:eastAsia="宋体" w:cs="宋体"/>
          <w:sz w:val="21"/>
          <w:szCs w:val="21"/>
          <w:lang w:eastAsia="zh-CN"/>
        </w:rPr>
        <w:t>）</w:t>
      </w:r>
      <w:r>
        <w:rPr>
          <w:rFonts w:hint="eastAsia" w:ascii="宋体" w:hAnsi="宋体" w:eastAsia="宋体" w:cs="宋体"/>
          <w:sz w:val="21"/>
          <w:szCs w:val="21"/>
        </w:rPr>
        <w:t>各因素的相互关系。</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 实质：农业区位选择的实质是对________的合理利用。</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 影响农业的区位因素</w:t>
      </w:r>
    </w:p>
    <w:tbl>
      <w:tblPr>
        <w:tblStyle w:val="8"/>
        <w:tblW w:w="8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4278"/>
        <w:gridCol w:w="2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noWrap w:val="0"/>
            <w:vAlign w:val="center"/>
          </w:tcPr>
          <w:p>
            <w:pPr>
              <w:pStyle w:val="4"/>
              <w:keepNext w:val="0"/>
              <w:keepLines w:val="0"/>
              <w:pageBreakBefore w:val="0"/>
              <w:widowControl w:val="0"/>
              <w:tabs>
                <w:tab w:val="left" w:pos="4320"/>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p>
        </w:tc>
        <w:tc>
          <w:tcPr>
            <w:tcW w:w="4278" w:type="dxa"/>
            <w:noWrap w:val="0"/>
            <w:vAlign w:val="center"/>
          </w:tcPr>
          <w:p>
            <w:pPr>
              <w:pStyle w:val="4"/>
              <w:keepNext w:val="0"/>
              <w:keepLines w:val="0"/>
              <w:pageBreakBefore w:val="0"/>
              <w:widowControl w:val="0"/>
              <w:tabs>
                <w:tab w:val="left" w:pos="4320"/>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区位因素</w:t>
            </w:r>
          </w:p>
        </w:tc>
        <w:tc>
          <w:tcPr>
            <w:tcW w:w="2783" w:type="dxa"/>
            <w:noWrap w:val="0"/>
            <w:vAlign w:val="center"/>
          </w:tcPr>
          <w:p>
            <w:pPr>
              <w:pStyle w:val="4"/>
              <w:keepNext w:val="0"/>
              <w:keepLines w:val="0"/>
              <w:pageBreakBefore w:val="0"/>
              <w:widowControl w:val="0"/>
              <w:tabs>
                <w:tab w:val="left" w:pos="4320"/>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发展变化速度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noWrap w:val="0"/>
            <w:vAlign w:val="center"/>
          </w:tcPr>
          <w:p>
            <w:pPr>
              <w:pStyle w:val="4"/>
              <w:keepNext w:val="0"/>
              <w:keepLines w:val="0"/>
              <w:pageBreakBefore w:val="0"/>
              <w:widowControl w:val="0"/>
              <w:tabs>
                <w:tab w:val="left" w:pos="4320"/>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自然因素</w:t>
            </w:r>
          </w:p>
        </w:tc>
        <w:tc>
          <w:tcPr>
            <w:tcW w:w="4278" w:type="dxa"/>
            <w:noWrap w:val="0"/>
            <w:vAlign w:val="center"/>
          </w:tcPr>
          <w:p>
            <w:pPr>
              <w:pStyle w:val="4"/>
              <w:keepNext w:val="0"/>
              <w:keepLines w:val="0"/>
              <w:pageBreakBefore w:val="0"/>
              <w:widowControl w:val="0"/>
              <w:tabs>
                <w:tab w:val="left" w:pos="4320"/>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________</w:t>
            </w:r>
            <w:r>
              <w:rPr>
                <w:rFonts w:hint="eastAsia" w:ascii="宋体" w:hAnsi="宋体" w:eastAsia="宋体" w:cs="宋体"/>
                <w:sz w:val="21"/>
                <w:szCs w:val="21"/>
                <w:lang w:eastAsia="zh-CN"/>
              </w:rPr>
              <w:t>（</w:t>
            </w:r>
            <w:r>
              <w:rPr>
                <w:rFonts w:hint="eastAsia" w:ascii="宋体" w:hAnsi="宋体" w:eastAsia="宋体" w:cs="宋体"/>
                <w:sz w:val="21"/>
                <w:szCs w:val="21"/>
              </w:rPr>
              <w:t>光、热、水</w:t>
            </w:r>
            <w:r>
              <w:rPr>
                <w:rFonts w:hint="eastAsia" w:ascii="宋体" w:hAnsi="宋体" w:eastAsia="宋体" w:cs="宋体"/>
                <w:sz w:val="21"/>
                <w:szCs w:val="21"/>
                <w:lang w:eastAsia="zh-CN"/>
              </w:rPr>
              <w:t>）</w:t>
            </w:r>
            <w:r>
              <w:rPr>
                <w:rFonts w:hint="eastAsia" w:ascii="宋体" w:hAnsi="宋体" w:eastAsia="宋体" w:cs="宋体"/>
                <w:sz w:val="21"/>
                <w:szCs w:val="21"/>
              </w:rPr>
              <w:t>、地形、水源、土壤</w:t>
            </w:r>
          </w:p>
        </w:tc>
        <w:tc>
          <w:tcPr>
            <w:tcW w:w="2783" w:type="dxa"/>
            <w:noWrap w:val="0"/>
            <w:vAlign w:val="center"/>
          </w:tcPr>
          <w:p>
            <w:pPr>
              <w:pStyle w:val="4"/>
              <w:keepNext w:val="0"/>
              <w:keepLines w:val="0"/>
              <w:pageBreakBefore w:val="0"/>
              <w:widowControl w:val="0"/>
              <w:tabs>
                <w:tab w:val="left" w:pos="4320"/>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比较________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6" w:type="dxa"/>
            <w:noWrap w:val="0"/>
            <w:vAlign w:val="center"/>
          </w:tcPr>
          <w:p>
            <w:pPr>
              <w:pStyle w:val="4"/>
              <w:keepNext w:val="0"/>
              <w:keepLines w:val="0"/>
              <w:pageBreakBefore w:val="0"/>
              <w:widowControl w:val="0"/>
              <w:tabs>
                <w:tab w:val="left" w:pos="4320"/>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社会经济因素</w:t>
            </w:r>
          </w:p>
        </w:tc>
        <w:tc>
          <w:tcPr>
            <w:tcW w:w="4278" w:type="dxa"/>
            <w:noWrap w:val="0"/>
            <w:vAlign w:val="center"/>
          </w:tcPr>
          <w:p>
            <w:pPr>
              <w:pStyle w:val="4"/>
              <w:keepNext w:val="0"/>
              <w:keepLines w:val="0"/>
              <w:pageBreakBefore w:val="0"/>
              <w:widowControl w:val="0"/>
              <w:tabs>
                <w:tab w:val="left" w:pos="4320"/>
              </w:tabs>
              <w:kinsoku/>
              <w:wordWrap/>
              <w:overflowPunct/>
              <w:topLinePunct w:val="0"/>
              <w:bidi w:val="0"/>
              <w:adjustRightInd/>
              <w:snapToGrid w:val="0"/>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w:t>________、交通、政策、劳动力、________等　</w:t>
            </w:r>
          </w:p>
        </w:tc>
        <w:tc>
          <w:tcPr>
            <w:tcW w:w="2783" w:type="dxa"/>
            <w:noWrap w:val="0"/>
            <w:vAlign w:val="center"/>
          </w:tcPr>
          <w:p>
            <w:pPr>
              <w:pStyle w:val="4"/>
              <w:keepNext w:val="0"/>
              <w:keepLines w:val="0"/>
              <w:pageBreakBefore w:val="0"/>
              <w:widowControl w:val="0"/>
              <w:tabs>
                <w:tab w:val="left" w:pos="4320"/>
              </w:tabs>
              <w:kinsoku/>
              <w:wordWrap/>
              <w:overflowPunct/>
              <w:topLinePunct w:val="0"/>
              <w:bidi w:val="0"/>
              <w:adjustRightInd/>
              <w:snapToGrid w:val="0"/>
              <w:spacing w:line="240" w:lineRule="auto"/>
              <w:jc w:val="center"/>
              <w:textAlignment w:val="auto"/>
              <w:rPr>
                <w:rFonts w:hint="eastAsia" w:ascii="宋体" w:hAnsi="宋体" w:eastAsia="宋体" w:cs="宋体"/>
                <w:sz w:val="21"/>
                <w:szCs w:val="21"/>
              </w:rPr>
            </w:pPr>
            <w:r>
              <w:rPr>
                <w:rFonts w:hint="eastAsia" w:ascii="宋体" w:hAnsi="宋体" w:eastAsia="宋体" w:cs="宋体"/>
                <w:sz w:val="21"/>
                <w:szCs w:val="21"/>
              </w:rPr>
              <w:t>发展变化较________</w:t>
            </w:r>
          </w:p>
        </w:tc>
      </w:tr>
    </w:tbl>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二、 农业布局</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 含义：农业布局是农业、林业、牧业、渔业的空间分布和农业生产的________。</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2. 原则：按照自然规律和________办事，________、扬长避短。</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3. 发展变化特点：从自给自足到________生产；从“小而全”到________；从相对分散到适度集中；从“千篇一律”到________；从________________；农业生产经营与现代信息技术相结合。</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4. 主要的农业地域类型：________________、________________、商业型乳酪业、商业型混合农业、大牧场畜牧业、商业型热带和亚热带栽培业等。</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易错提醒1　农业生产的耕作制度主要取决于地形条件。</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易错提醒2　西北农业发展的限制性因素是热量不足。</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易错提醒3　保鲜冷藏技术使得农作物分布的地域范围不断缩小。</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易错提醒4　亚洲发展水稻种植业主导因素是种植历史悠久。</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易错提醒5　我国的商品谷物农业主要分布在东北和西南地区。</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易错提醒6　西欧地区农业发展的限制性因素是降水不足。</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下图为美国某农业区分布示意图。读图，回答1～2题。</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INCLUDEPICTURE"21D-159.TIF"</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3535680" cy="1616710"/>
            <wp:effectExtent l="0" t="0" r="7620"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 r:link="rId6"/>
                    <a:stretch>
                      <a:fillRect/>
                    </a:stretch>
                  </pic:blipFill>
                  <pic:spPr>
                    <a:xfrm>
                      <a:off x="0" y="0"/>
                      <a:ext cx="3535680" cy="1616710"/>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hAnsi="宋体" w:eastAsia="宋体" w:cs="宋体"/>
          <w:sz w:val="21"/>
          <w:szCs w:val="21"/>
          <w:lang w:val="en-US" w:eastAsia="zh-CN"/>
        </w:rPr>
        <w:t>1.</w:t>
      </w:r>
      <w:r>
        <w:rPr>
          <w:rFonts w:hint="eastAsia" w:ascii="宋体" w:hAnsi="宋体" w:eastAsia="宋体" w:cs="宋体"/>
          <w:sz w:val="21"/>
          <w:szCs w:val="21"/>
        </w:rPr>
        <w:t>图示农业区呈现出的主要景观是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5332730" cy="1228725"/>
            <wp:effectExtent l="0" t="0" r="127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332730" cy="1228725"/>
                    </a:xfrm>
                    <a:prstGeom prst="rect">
                      <a:avLst/>
                    </a:prstGeom>
                    <a:noFill/>
                    <a:ln>
                      <a:noFill/>
                    </a:ln>
                  </pic:spPr>
                </pic:pic>
              </a:graphicData>
            </a:graphic>
          </wp:inline>
        </w:drawing>
      </w:r>
      <w:r>
        <w:rPr>
          <w:rFonts w:hint="eastAsia" w:hAnsi="宋体" w:eastAsia="宋体" w:cs="宋体"/>
          <w:sz w:val="21"/>
          <w:szCs w:val="21"/>
          <w:lang w:val="en-US" w:eastAsia="zh-CN"/>
        </w:rPr>
        <w:t>2.</w:t>
      </w:r>
      <w:r>
        <w:rPr>
          <w:rFonts w:hint="eastAsia" w:ascii="宋体" w:hAnsi="宋体" w:eastAsia="宋体" w:cs="宋体"/>
          <w:sz w:val="21"/>
          <w:szCs w:val="21"/>
        </w:rPr>
        <w:t>下列属于该农业区生产特点的是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商品率低</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 小农经营</w:t>
      </w:r>
      <w:r>
        <w:rPr>
          <w:rFonts w:hint="eastAsia" w:hAnsi="宋体" w:eastAsia="宋体" w:cs="宋体"/>
          <w:sz w:val="21"/>
          <w:szCs w:val="21"/>
          <w:lang w:val="en-US" w:eastAsia="zh-CN"/>
        </w:rPr>
        <w:t xml:space="preserve">          </w:t>
      </w:r>
      <w:r>
        <w:rPr>
          <w:rFonts w:hint="eastAsia" w:ascii="宋体" w:hAnsi="宋体" w:eastAsia="宋体" w:cs="宋体"/>
          <w:sz w:val="21"/>
          <w:szCs w:val="21"/>
        </w:rPr>
        <w:t>C. 水利工程量大</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 生产规模大</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outlineLvl w:val="1"/>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【课堂检测】</w:t>
      </w:r>
    </w:p>
    <w:p>
      <w:pPr>
        <w:pStyle w:val="4"/>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娃娃菜为半耐寒性蔬菜，生长周期约为55天，有肥大的肉质直根和发达的侧根，生长的适宜温度为10～22 ℃。兰州市郊</w:t>
      </w:r>
      <w:r>
        <w:rPr>
          <w:rFonts w:hint="eastAsia" w:ascii="宋体" w:hAnsi="宋体" w:eastAsia="宋体" w:cs="宋体"/>
          <w:sz w:val="21"/>
          <w:szCs w:val="21"/>
          <w:lang w:eastAsia="zh-CN"/>
        </w:rPr>
        <w:t>（</w:t>
      </w:r>
      <w:r>
        <w:rPr>
          <w:rFonts w:hint="eastAsia" w:ascii="宋体" w:hAnsi="宋体" w:eastAsia="宋体" w:cs="宋体"/>
          <w:sz w:val="21"/>
          <w:szCs w:val="21"/>
        </w:rPr>
        <w:t>海拔2 000～2 800 m</w:t>
      </w:r>
      <w:r>
        <w:rPr>
          <w:rFonts w:hint="eastAsia" w:ascii="宋体" w:hAnsi="宋体" w:eastAsia="宋体" w:cs="宋体"/>
          <w:sz w:val="21"/>
          <w:szCs w:val="21"/>
          <w:lang w:eastAsia="zh-CN"/>
        </w:rPr>
        <w:t>）</w:t>
      </w:r>
      <w:r>
        <w:rPr>
          <w:rFonts w:hint="eastAsia" w:ascii="宋体" w:hAnsi="宋体" w:eastAsia="宋体" w:cs="宋体"/>
          <w:sz w:val="21"/>
          <w:szCs w:val="21"/>
        </w:rPr>
        <w:t>是优质娃娃菜的主产区。下图为“兰州市区</w:t>
      </w:r>
      <w:r>
        <w:rPr>
          <w:rFonts w:hint="eastAsia" w:ascii="宋体" w:hAnsi="宋体" w:eastAsia="宋体" w:cs="宋体"/>
          <w:sz w:val="21"/>
          <w:szCs w:val="21"/>
          <w:lang w:eastAsia="zh-CN"/>
        </w:rPr>
        <w:t>（</w:t>
      </w:r>
      <w:r>
        <w:rPr>
          <w:rFonts w:hint="eastAsia" w:ascii="宋体" w:hAnsi="宋体" w:eastAsia="宋体" w:cs="宋体"/>
          <w:sz w:val="21"/>
          <w:szCs w:val="21"/>
        </w:rPr>
        <w:t>海拔1 520 m</w:t>
      </w:r>
      <w:r>
        <w:rPr>
          <w:rFonts w:hint="eastAsia" w:ascii="宋体" w:hAnsi="宋体" w:eastAsia="宋体" w:cs="宋体"/>
          <w:sz w:val="21"/>
          <w:szCs w:val="21"/>
          <w:lang w:eastAsia="zh-CN"/>
        </w:rPr>
        <w:t>）</w:t>
      </w:r>
      <w:r>
        <w:rPr>
          <w:rFonts w:hint="eastAsia" w:ascii="宋体" w:hAnsi="宋体" w:eastAsia="宋体" w:cs="宋体"/>
          <w:sz w:val="21"/>
          <w:szCs w:val="21"/>
        </w:rPr>
        <w:t>气候统计图”。据此完成</w:t>
      </w:r>
      <w:r>
        <w:rPr>
          <w:rFonts w:hint="eastAsia" w:hAnsi="宋体" w:eastAsia="宋体" w:cs="宋体"/>
          <w:sz w:val="21"/>
          <w:szCs w:val="21"/>
          <w:lang w:val="en-US" w:eastAsia="zh-CN"/>
        </w:rPr>
        <w:t>1</w:t>
      </w:r>
      <w:r>
        <w:rPr>
          <w:rFonts w:hint="eastAsia" w:ascii="宋体" w:hAnsi="宋体" w:eastAsia="宋体" w:cs="宋体"/>
          <w:sz w:val="21"/>
          <w:szCs w:val="21"/>
        </w:rPr>
        <w:t>～</w:t>
      </w:r>
      <w:r>
        <w:rPr>
          <w:rFonts w:hint="eastAsia" w:hAnsi="宋体" w:eastAsia="宋体" w:cs="宋体"/>
          <w:sz w:val="21"/>
          <w:szCs w:val="21"/>
          <w:lang w:val="en-US" w:eastAsia="zh-CN"/>
        </w:rPr>
        <w:t>2</w:t>
      </w:r>
      <w:r>
        <w:rPr>
          <w:rFonts w:hint="eastAsia" w:ascii="宋体" w:hAnsi="宋体" w:eastAsia="宋体" w:cs="宋体"/>
          <w:sz w:val="21"/>
          <w:szCs w:val="21"/>
        </w:rPr>
        <w:t>题。</w:t>
      </w:r>
    </w:p>
    <w:p>
      <w:pPr>
        <w:pStyle w:val="4"/>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INCLUDEPICTURE"21D-379.TIF"</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4223385" cy="1689735"/>
            <wp:effectExtent l="0" t="0" r="5715"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r:link="rId9"/>
                    <a:stretch>
                      <a:fillRect/>
                    </a:stretch>
                  </pic:blipFill>
                  <pic:spPr>
                    <a:xfrm>
                      <a:off x="0" y="0"/>
                      <a:ext cx="4223385" cy="1689735"/>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4"/>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eastAsia="zh-CN"/>
        </w:rPr>
      </w:pPr>
      <w:r>
        <w:rPr>
          <w:rFonts w:hint="eastAsia" w:hAnsi="宋体" w:eastAsia="宋体" w:cs="宋体"/>
          <w:sz w:val="21"/>
          <w:szCs w:val="21"/>
          <w:lang w:val="en-US" w:eastAsia="zh-CN"/>
        </w:rPr>
        <w:t>1.</w:t>
      </w:r>
      <w:r>
        <w:rPr>
          <w:rFonts w:hint="eastAsia" w:ascii="宋体" w:hAnsi="宋体" w:eastAsia="宋体" w:cs="宋体"/>
          <w:sz w:val="21"/>
          <w:szCs w:val="21"/>
        </w:rPr>
        <w:t xml:space="preserve"> 该主产区娃娃菜品质优良的原因有</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① 气候冷凉　② 水源充足　③ 土质疏松　④ 地形平坦</w:t>
      </w:r>
    </w:p>
    <w:p>
      <w:pPr>
        <w:pStyle w:val="4"/>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①② </w:t>
      </w:r>
      <w:r>
        <w:rPr>
          <w:rFonts w:hint="eastAsia" w:ascii="宋体" w:hAnsi="宋体" w:eastAsia="宋体" w:cs="宋体"/>
          <w:sz w:val="21"/>
          <w:szCs w:val="21"/>
        </w:rPr>
        <w:tab/>
      </w:r>
      <w:r>
        <w:rPr>
          <w:rFonts w:hint="eastAsia" w:ascii="宋体" w:hAnsi="宋体" w:eastAsia="宋体" w:cs="宋体"/>
          <w:sz w:val="21"/>
          <w:szCs w:val="21"/>
        </w:rPr>
        <w:t xml:space="preserve">B. ②③ </w:t>
      </w:r>
    </w:p>
    <w:p>
      <w:pPr>
        <w:pStyle w:val="4"/>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①③ </w:t>
      </w:r>
      <w:r>
        <w:rPr>
          <w:rFonts w:hint="eastAsia" w:ascii="宋体" w:hAnsi="宋体" w:eastAsia="宋体" w:cs="宋体"/>
          <w:sz w:val="21"/>
          <w:szCs w:val="21"/>
        </w:rPr>
        <w:tab/>
      </w:r>
      <w:r>
        <w:rPr>
          <w:rFonts w:hint="eastAsia" w:ascii="宋体" w:hAnsi="宋体" w:eastAsia="宋体" w:cs="宋体"/>
          <w:sz w:val="21"/>
          <w:szCs w:val="21"/>
        </w:rPr>
        <w:t>D. ③④</w:t>
      </w:r>
    </w:p>
    <w:p>
      <w:pPr>
        <w:pStyle w:val="4"/>
        <w:keepNext w:val="0"/>
        <w:keepLines w:val="0"/>
        <w:pageBreakBefore w:val="0"/>
        <w:widowControl w:val="0"/>
        <w:tabs>
          <w:tab w:val="left" w:pos="4320"/>
        </w:tabs>
        <w:kinsoku/>
        <w:wordWrap/>
        <w:overflowPunct/>
        <w:topLinePunct w:val="0"/>
        <w:autoSpaceDE/>
        <w:autoSpaceDN/>
        <w:bidi w:val="0"/>
        <w:adjustRightInd/>
        <w:snapToGrid w:val="0"/>
        <w:spacing w:line="240" w:lineRule="auto"/>
        <w:textAlignment w:val="auto"/>
        <w:rPr>
          <w:rFonts w:hint="eastAsia" w:ascii="宋体" w:hAnsi="宋体" w:eastAsia="宋体" w:cs="宋体"/>
          <w:sz w:val="21"/>
          <w:szCs w:val="21"/>
          <w:lang w:eastAsia="zh-CN"/>
        </w:rPr>
      </w:pPr>
      <w:r>
        <w:rPr>
          <w:rFonts w:hint="eastAsia" w:hAnsi="宋体" w:eastAsia="宋体" w:cs="宋体"/>
          <w:sz w:val="21"/>
          <w:szCs w:val="21"/>
          <w:lang w:val="en-US" w:eastAsia="zh-CN"/>
        </w:rPr>
        <w:t>2.</w:t>
      </w:r>
      <w:r>
        <w:rPr>
          <w:rFonts w:hint="eastAsia" w:ascii="宋体" w:hAnsi="宋体" w:eastAsia="宋体" w:cs="宋体"/>
          <w:sz w:val="21"/>
          <w:szCs w:val="21"/>
        </w:rPr>
        <w:t>兰州娃娃菜能远销到上海、广州等地，主要得益于</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宝兰高铁开通 </w:t>
      </w:r>
      <w:r>
        <w:rPr>
          <w:rFonts w:hint="eastAsia" w:ascii="宋体" w:hAnsi="宋体" w:eastAsia="宋体" w:cs="宋体"/>
          <w:sz w:val="21"/>
          <w:szCs w:val="21"/>
        </w:rPr>
        <w:tab/>
      </w:r>
      <w:r>
        <w:rPr>
          <w:rFonts w:hint="eastAsia" w:ascii="宋体" w:hAnsi="宋体" w:eastAsia="宋体" w:cs="宋体"/>
          <w:sz w:val="21"/>
          <w:szCs w:val="21"/>
        </w:rPr>
        <w:t>B. 交通条件改善</w:t>
      </w:r>
    </w:p>
    <w:p>
      <w:pPr>
        <w:pStyle w:val="4"/>
        <w:keepNext w:val="0"/>
        <w:keepLines w:val="0"/>
        <w:pageBreakBefore w:val="0"/>
        <w:widowControl w:val="0"/>
        <w:tabs>
          <w:tab w:val="left" w:pos="4320"/>
        </w:tabs>
        <w:kinsoku/>
        <w:wordWrap/>
        <w:overflowPunct/>
        <w:topLinePunct w:val="0"/>
        <w:autoSpaceDE/>
        <w:autoSpaceDN/>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品质优良 </w:t>
      </w:r>
      <w:r>
        <w:rPr>
          <w:rFonts w:hint="eastAsia" w:ascii="宋体" w:hAnsi="宋体" w:eastAsia="宋体" w:cs="宋体"/>
          <w:sz w:val="21"/>
          <w:szCs w:val="21"/>
        </w:rPr>
        <w:tab/>
      </w:r>
      <w:r>
        <w:rPr>
          <w:rFonts w:hint="eastAsia" w:ascii="宋体" w:hAnsi="宋体" w:eastAsia="宋体" w:cs="宋体"/>
          <w:sz w:val="21"/>
          <w:szCs w:val="21"/>
        </w:rPr>
        <w:t>D. 南方市场广阔</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sz w:val="21"/>
          <w:szCs w:val="21"/>
          <w:lang w:val="zh-CN" w:bidi="zh-CN"/>
        </w:rPr>
      </w:pPr>
      <w:r>
        <w:rPr>
          <w:rFonts w:hint="eastAsia" w:ascii="宋体" w:hAnsi="宋体" w:eastAsia="宋体" w:cs="宋体"/>
          <w:b/>
          <w:bCs/>
          <w:sz w:val="21"/>
          <w:szCs w:val="21"/>
          <w:lang w:val="zh-CN" w:bidi="zh-CN"/>
        </w:rPr>
        <w:t>【导悟——拓思维，建体系】</w: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rPr>
      </w:pPr>
      <w:r>
        <w:rPr>
          <w:rFonts w:hint="eastAsia" w:ascii="宋体" w:hAnsi="宋体" w:eastAsia="宋体" w:cs="宋体"/>
          <w:sz w:val="21"/>
          <w:szCs w:val="21"/>
        </w:rPr>
        <mc:AlternateContent>
          <mc:Choice Requires="wps">
            <w:drawing>
              <wp:anchor distT="0" distB="0" distL="114300" distR="114300" simplePos="0" relativeHeight="251660288" behindDoc="0" locked="0" layoutInCell="1" allowOverlap="1">
                <wp:simplePos x="0" y="0"/>
                <wp:positionH relativeFrom="column">
                  <wp:posOffset>38735</wp:posOffset>
                </wp:positionH>
                <wp:positionV relativeFrom="paragraph">
                  <wp:posOffset>64770</wp:posOffset>
                </wp:positionV>
                <wp:extent cx="5467350" cy="770890"/>
                <wp:effectExtent l="4445" t="4445" r="14605" b="5715"/>
                <wp:wrapNone/>
                <wp:docPr id="33" name="文本框 33"/>
                <wp:cNvGraphicFramePr/>
                <a:graphic xmlns:a="http://schemas.openxmlformats.org/drawingml/2006/main">
                  <a:graphicData uri="http://schemas.microsoft.com/office/word/2010/wordprocessingShape">
                    <wps:wsp>
                      <wps:cNvSpPr txBox="1"/>
                      <wps:spPr>
                        <a:xfrm>
                          <a:off x="0" y="0"/>
                          <a:ext cx="5467350" cy="770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5.1pt;height:60.7pt;width:430.5pt;z-index:251660288;mso-width-relative:page;mso-height-relative:page;" fillcolor="#FFFFFF [3201]" filled="t" stroked="t" coordsize="21600,21600" o:gfxdata="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bi7w9MAAAAI&#10;AQAADwAAAAAAAAABACAAAAAiAAAAZHJzL2Rvd25yZXYueG1sUEsBAhQAFAAAAAgAh07iQJTGi4Ba&#10;AgAAuQQAAA4AAAAAAAAAAQAgAAAAIgEAAGRycy9lMm9Eb2MueG1sUEsFBgAAAAAGAAYAWQEAAO4F&#10;AAAAAA==&#10;">
                <v:fill on="t" focussize="0,0"/>
                <v:stroke weight="0.5pt" color="#000000 [3204]" joinstyle="round"/>
                <v:imagedata o:title=""/>
                <o:lock v:ext="edit" aspectratio="f"/>
                <v:textbox>
                  <w:txbxContent>
                    <w:p/>
                  </w:txbxContent>
                </v:textbox>
              </v:shape>
            </w:pict>
          </mc:Fallback>
        </mc:AlternateContent>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sz w:val="21"/>
          <w:szCs w:val="21"/>
          <w:lang w:val="zh-CN"/>
        </w:rPr>
      </w:pPr>
    </w:p>
    <w:p>
      <w:pPr>
        <w:keepNext w:val="0"/>
        <w:keepLines w:val="0"/>
        <w:pageBreakBefore w:val="0"/>
        <w:widowControl w:val="0"/>
        <w:kinsoku/>
        <w:wordWrap/>
        <w:overflowPunct/>
        <w:topLinePunct w:val="0"/>
        <w:autoSpaceDE w:val="0"/>
        <w:autoSpaceDN w:val="0"/>
        <w:bidi w:val="0"/>
        <w:adjustRightInd/>
        <w:spacing w:line="240" w:lineRule="auto"/>
        <w:jc w:val="both"/>
        <w:textAlignment w:val="auto"/>
        <w:rPr>
          <w:rFonts w:hint="eastAsia" w:ascii="宋体" w:hAnsi="宋体" w:eastAsia="宋体" w:cs="宋体"/>
          <w:b/>
          <w:kern w:val="0"/>
          <w:sz w:val="21"/>
          <w:szCs w:val="21"/>
          <w:lang w:val="en-US" w:bidi="zh-CN"/>
        </w:rPr>
      </w:pPr>
    </w:p>
    <w:p>
      <w:pPr>
        <w:keepNext w:val="0"/>
        <w:keepLines w:val="0"/>
        <w:pageBreakBefore w:val="0"/>
        <w:kinsoku/>
        <w:wordWrap/>
        <w:overflowPunct/>
        <w:topLinePunct w:val="0"/>
        <w:autoSpaceDE w:val="0"/>
        <w:autoSpaceDN w:val="0"/>
        <w:bidi w:val="0"/>
        <w:adjustRightInd/>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一</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p>
    <w:p>
      <w:pPr>
        <w:autoSpaceDE w:val="0"/>
        <w:autoSpaceDN w:val="0"/>
        <w:jc w:val="center"/>
        <w:rPr>
          <w:rFonts w:hint="eastAsia" w:ascii="黑体" w:hAnsi="黑体" w:eastAsia="黑体" w:cs="黑体"/>
          <w:b/>
          <w:bCs/>
          <w:sz w:val="28"/>
          <w:szCs w:val="28"/>
          <w:u w:val="none"/>
          <w:lang w:val="en-US" w:eastAsia="zh-CN"/>
        </w:rPr>
      </w:pPr>
      <w:r>
        <w:rPr>
          <w:rFonts w:hint="eastAsia" w:ascii="黑体" w:hAnsi="黑体" w:eastAsia="黑体" w:cs="黑体"/>
          <w:b/>
          <w:bCs/>
          <w:sz w:val="28"/>
          <w:szCs w:val="28"/>
          <w:u w:val="none"/>
          <w:lang w:val="en-US"/>
        </w:rPr>
        <w:t>课时18　</w:t>
      </w:r>
      <w:r>
        <w:rPr>
          <w:rFonts w:hint="eastAsia" w:ascii="黑体" w:hAnsi="黑体" w:eastAsia="黑体" w:cs="黑体"/>
          <w:b/>
          <w:bCs/>
          <w:sz w:val="28"/>
          <w:szCs w:val="28"/>
          <w:u w:val="none"/>
          <w:lang w:val="en-US" w:eastAsia="zh-CN"/>
        </w:rPr>
        <w:t xml:space="preserve">农业区位因素  </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11</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30</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一、 单项选择题</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1312" behindDoc="1" locked="0" layoutInCell="1" allowOverlap="1">
            <wp:simplePos x="0" y="0"/>
            <wp:positionH relativeFrom="column">
              <wp:posOffset>3609340</wp:posOffset>
            </wp:positionH>
            <wp:positionV relativeFrom="paragraph">
              <wp:posOffset>219075</wp:posOffset>
            </wp:positionV>
            <wp:extent cx="1898015" cy="1606550"/>
            <wp:effectExtent l="0" t="0" r="6985" b="0"/>
            <wp:wrapTight wrapText="bothSides">
              <wp:wrapPolygon>
                <wp:start x="0" y="0"/>
                <wp:lineTo x="0" y="21258"/>
                <wp:lineTo x="21463" y="21258"/>
                <wp:lineTo x="21463" y="0"/>
                <wp:lineTo x="0" y="0"/>
              </wp:wrapPolygon>
            </wp:wrapTight>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0" r:link="rId11"/>
                    <a:stretch>
                      <a:fillRect/>
                    </a:stretch>
                  </pic:blipFill>
                  <pic:spPr>
                    <a:xfrm>
                      <a:off x="0" y="0"/>
                      <a:ext cx="1898015" cy="1606550"/>
                    </a:xfrm>
                    <a:prstGeom prst="rect">
                      <a:avLst/>
                    </a:prstGeom>
                    <a:noFill/>
                    <a:ln>
                      <a:noFill/>
                    </a:ln>
                  </pic:spPr>
                </pic:pic>
              </a:graphicData>
            </a:graphic>
          </wp:anchor>
        </w:drawing>
      </w:r>
      <w:r>
        <w:rPr>
          <w:rFonts w:hint="eastAsia" w:ascii="宋体" w:hAnsi="宋体" w:eastAsia="宋体" w:cs="宋体"/>
          <w:sz w:val="21"/>
          <w:szCs w:val="21"/>
        </w:rPr>
        <w:t>我国新疆是世界最优质的长绒棉产区之一，2021年3月底，新疆的棉花成为世界热点话题。下图为“我国新疆棉花种植分布示意图”。据此完成1～2题。</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1. 下列与新疆长绒棉“品质好”直接相关的是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① 市场</w:t>
      </w:r>
      <w:r>
        <w:rPr>
          <w:rFonts w:hint="eastAsia" w:hAnsi="宋体" w:eastAsia="宋体" w:cs="宋体"/>
          <w:sz w:val="21"/>
          <w:szCs w:val="21"/>
          <w:lang w:val="en-US" w:eastAsia="zh-CN"/>
        </w:rPr>
        <w:t xml:space="preserve"> </w:t>
      </w:r>
      <w:r>
        <w:rPr>
          <w:rFonts w:hint="eastAsia" w:ascii="宋体" w:hAnsi="宋体" w:eastAsia="宋体" w:cs="宋体"/>
          <w:sz w:val="21"/>
          <w:szCs w:val="21"/>
        </w:rPr>
        <w:t>　② 光照　</w:t>
      </w:r>
      <w:r>
        <w:rPr>
          <w:rFonts w:hint="eastAsia" w:hAnsi="宋体" w:eastAsia="宋体" w:cs="宋体"/>
          <w:sz w:val="21"/>
          <w:szCs w:val="21"/>
          <w:lang w:val="en-US" w:eastAsia="zh-CN"/>
        </w:rPr>
        <w:t xml:space="preserve">   </w:t>
      </w:r>
      <w:r>
        <w:rPr>
          <w:rFonts w:hint="eastAsia" w:ascii="宋体" w:hAnsi="宋体" w:eastAsia="宋体" w:cs="宋体"/>
          <w:sz w:val="21"/>
          <w:szCs w:val="21"/>
        </w:rPr>
        <w:t>③ 昼夜温差　</w:t>
      </w:r>
      <w:r>
        <w:rPr>
          <w:rFonts w:hint="eastAsia" w:hAnsi="宋体" w:eastAsia="宋体" w:cs="宋体"/>
          <w:sz w:val="21"/>
          <w:szCs w:val="21"/>
          <w:lang w:val="en-US" w:eastAsia="zh-CN"/>
        </w:rPr>
        <w:t xml:space="preserve"> </w:t>
      </w:r>
      <w:r>
        <w:rPr>
          <w:rFonts w:hint="eastAsia" w:ascii="宋体" w:hAnsi="宋体" w:eastAsia="宋体" w:cs="宋体"/>
          <w:sz w:val="21"/>
          <w:szCs w:val="21"/>
        </w:rPr>
        <w:t>④ 种植面积</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①②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 ②③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 ①④ </w:t>
      </w:r>
      <w:r>
        <w:rPr>
          <w:rFonts w:hint="eastAsia" w:hAnsi="宋体" w:eastAsia="宋体" w:cs="宋体"/>
          <w:sz w:val="21"/>
          <w:szCs w:val="21"/>
          <w:lang w:val="en-US" w:eastAsia="zh-CN"/>
        </w:rPr>
        <w:t xml:space="preserve">      </w:t>
      </w:r>
      <w:r>
        <w:rPr>
          <w:rFonts w:hint="eastAsia" w:ascii="宋体" w:hAnsi="宋体" w:eastAsia="宋体" w:cs="宋体"/>
          <w:sz w:val="21"/>
          <w:szCs w:val="21"/>
        </w:rPr>
        <w:t>D. ③④</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2. 新疆地区棉花种植过程中可能产生的环境问题主要有</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① 土地荒漠化　② 污染严重　</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③ 水土流失　④ 土壤盐碱化</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①②</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 ②③ </w:t>
      </w:r>
      <w:r>
        <w:rPr>
          <w:rFonts w:hint="eastAsia" w:hAnsi="宋体" w:eastAsia="宋体" w:cs="宋体"/>
          <w:sz w:val="21"/>
          <w:szCs w:val="21"/>
          <w:lang w:val="en-US" w:eastAsia="zh-CN"/>
        </w:rPr>
        <w:t xml:space="preserve">    </w:t>
      </w:r>
      <w:r>
        <w:rPr>
          <w:rFonts w:hint="eastAsia" w:ascii="宋体" w:hAnsi="宋体" w:eastAsia="宋体" w:cs="宋体"/>
          <w:sz w:val="21"/>
          <w:szCs w:val="21"/>
        </w:rPr>
        <w:t>C. ①④</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 ③④</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2336" behindDoc="1" locked="0" layoutInCell="1" allowOverlap="1">
            <wp:simplePos x="0" y="0"/>
            <wp:positionH relativeFrom="column">
              <wp:posOffset>3885565</wp:posOffset>
            </wp:positionH>
            <wp:positionV relativeFrom="paragraph">
              <wp:posOffset>375920</wp:posOffset>
            </wp:positionV>
            <wp:extent cx="1629410" cy="1431925"/>
            <wp:effectExtent l="0" t="0" r="8890" b="0"/>
            <wp:wrapTight wrapText="bothSides">
              <wp:wrapPolygon>
                <wp:start x="0" y="0"/>
                <wp:lineTo x="0" y="21265"/>
                <wp:lineTo x="21465" y="21265"/>
                <wp:lineTo x="21465" y="0"/>
                <wp:lineTo x="0" y="0"/>
              </wp:wrapPolygon>
            </wp:wrapTight>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2" r:link="rId13"/>
                    <a:stretch>
                      <a:fillRect/>
                    </a:stretch>
                  </pic:blipFill>
                  <pic:spPr>
                    <a:xfrm>
                      <a:off x="0" y="0"/>
                      <a:ext cx="1629410" cy="1431925"/>
                    </a:xfrm>
                    <a:prstGeom prst="rect">
                      <a:avLst/>
                    </a:prstGeom>
                    <a:noFill/>
                    <a:ln>
                      <a:noFill/>
                    </a:ln>
                  </pic:spPr>
                </pic:pic>
              </a:graphicData>
            </a:graphic>
          </wp:anchor>
        </w:drawing>
      </w:r>
      <w:r>
        <w:rPr>
          <w:rFonts w:hint="eastAsia" w:ascii="宋体" w:hAnsi="宋体" w:eastAsia="宋体" w:cs="宋体"/>
          <w:sz w:val="21"/>
          <w:szCs w:val="21"/>
        </w:rPr>
        <w:t>火龙果在温暖湿润、光线充足的环境下生长迅速。广西是我国面积最大的火龙果产区，越来越多的火龙果基地安装LED灯，在傍晚将灯泡同时点亮，场景蔚为壮观。下图是广西某火龙果基地的夜晚景观。读图完成3～4题。</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3. 火龙果基地夜晚大量使用灯光，其主要作用是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增加果园的观赏价值 </w:t>
      </w:r>
      <w:r>
        <w:rPr>
          <w:rFonts w:hint="eastAsia" w:hAnsi="宋体" w:eastAsia="宋体" w:cs="宋体"/>
          <w:sz w:val="21"/>
          <w:szCs w:val="21"/>
          <w:lang w:val="en-US" w:eastAsia="zh-CN"/>
        </w:rPr>
        <w:t xml:space="preserve">   </w:t>
      </w:r>
      <w:r>
        <w:rPr>
          <w:rFonts w:hint="eastAsia" w:ascii="宋体" w:hAnsi="宋体" w:eastAsia="宋体" w:cs="宋体"/>
          <w:sz w:val="21"/>
          <w:szCs w:val="21"/>
        </w:rPr>
        <w:t>B. 预防病虫害作用</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便于农民在夜间劳作 </w:t>
      </w:r>
      <w:r>
        <w:rPr>
          <w:rFonts w:hint="eastAsia" w:hAnsi="宋体" w:eastAsia="宋体" w:cs="宋体"/>
          <w:sz w:val="21"/>
          <w:szCs w:val="21"/>
          <w:lang w:val="en-US" w:eastAsia="zh-CN"/>
        </w:rPr>
        <w:t xml:space="preserve">   </w:t>
      </w:r>
      <w:r>
        <w:rPr>
          <w:rFonts w:hint="eastAsia" w:ascii="宋体" w:hAnsi="宋体" w:eastAsia="宋体" w:cs="宋体"/>
          <w:sz w:val="21"/>
          <w:szCs w:val="21"/>
        </w:rPr>
        <w:t>D. 增加光照和温度</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4. 相较传统火龙果种植，现代灯光技术的使用，其根本目的是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减少病虫害，增大水果产量</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 增加果园的经济附加值</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错季节上市，提高经济效益 </w:t>
      </w:r>
      <w:r>
        <w:rPr>
          <w:rFonts w:hint="eastAsia" w:hAnsi="宋体" w:eastAsia="宋体" w:cs="宋体"/>
          <w:sz w:val="21"/>
          <w:szCs w:val="21"/>
          <w:lang w:val="en-US" w:eastAsia="zh-CN"/>
        </w:rPr>
        <w:t xml:space="preserve">  </w:t>
      </w:r>
      <w:r>
        <w:rPr>
          <w:rFonts w:hint="eastAsia" w:ascii="宋体" w:hAnsi="宋体" w:eastAsia="宋体" w:cs="宋体"/>
          <w:sz w:val="21"/>
          <w:szCs w:val="21"/>
        </w:rPr>
        <w:t>D. 提高火龙果的产量和品质</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3360" behindDoc="1" locked="0" layoutInCell="1" allowOverlap="1">
            <wp:simplePos x="0" y="0"/>
            <wp:positionH relativeFrom="column">
              <wp:posOffset>1143000</wp:posOffset>
            </wp:positionH>
            <wp:positionV relativeFrom="paragraph">
              <wp:posOffset>558165</wp:posOffset>
            </wp:positionV>
            <wp:extent cx="1922145" cy="1088390"/>
            <wp:effectExtent l="0" t="0" r="1905" b="35560"/>
            <wp:wrapTight wrapText="bothSides">
              <wp:wrapPolygon>
                <wp:start x="0" y="0"/>
                <wp:lineTo x="0" y="21172"/>
                <wp:lineTo x="21407" y="21172"/>
                <wp:lineTo x="21407" y="0"/>
                <wp:lineTo x="0" y="0"/>
              </wp:wrapPolygon>
            </wp:wrapTight>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4" r:link="rId15"/>
                    <a:stretch>
                      <a:fillRect/>
                    </a:stretch>
                  </pic:blipFill>
                  <pic:spPr>
                    <a:xfrm>
                      <a:off x="0" y="0"/>
                      <a:ext cx="1922145" cy="1088390"/>
                    </a:xfrm>
                    <a:prstGeom prst="rect">
                      <a:avLst/>
                    </a:prstGeom>
                    <a:noFill/>
                    <a:ln>
                      <a:noFill/>
                    </a:ln>
                  </pic:spPr>
                </pic:pic>
              </a:graphicData>
            </a:graphic>
          </wp:anchor>
        </w:drawing>
      </w:r>
      <w:r>
        <w:rPr>
          <w:rFonts w:hint="eastAsia" w:ascii="宋体" w:hAnsi="宋体" w:eastAsia="宋体" w:cs="宋体"/>
          <w:sz w:val="21"/>
          <w:szCs w:val="21"/>
        </w:rPr>
        <w:drawing>
          <wp:anchor distT="0" distB="0" distL="114300" distR="114300" simplePos="0" relativeHeight="251664384" behindDoc="1" locked="0" layoutInCell="1" allowOverlap="1">
            <wp:simplePos x="0" y="0"/>
            <wp:positionH relativeFrom="column">
              <wp:posOffset>3091180</wp:posOffset>
            </wp:positionH>
            <wp:positionV relativeFrom="paragraph">
              <wp:posOffset>551815</wp:posOffset>
            </wp:positionV>
            <wp:extent cx="2223770" cy="1074420"/>
            <wp:effectExtent l="0" t="0" r="5080" b="49530"/>
            <wp:wrapTight wrapText="bothSides">
              <wp:wrapPolygon>
                <wp:start x="0" y="0"/>
                <wp:lineTo x="0" y="21064"/>
                <wp:lineTo x="21464" y="21064"/>
                <wp:lineTo x="21464" y="0"/>
                <wp:lineTo x="0" y="0"/>
              </wp:wrapPolygon>
            </wp:wrapTight>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6" r:link="rId17"/>
                    <a:stretch>
                      <a:fillRect/>
                    </a:stretch>
                  </pic:blipFill>
                  <pic:spPr>
                    <a:xfrm>
                      <a:off x="0" y="0"/>
                      <a:ext cx="2223770" cy="1074420"/>
                    </a:xfrm>
                    <a:prstGeom prst="rect">
                      <a:avLst/>
                    </a:prstGeom>
                    <a:noFill/>
                    <a:ln>
                      <a:noFill/>
                    </a:ln>
                  </pic:spPr>
                </pic:pic>
              </a:graphicData>
            </a:graphic>
          </wp:anchor>
        </w:drawing>
      </w:r>
      <w:r>
        <w:rPr>
          <w:rFonts w:hint="eastAsia" w:ascii="宋体" w:hAnsi="宋体" w:eastAsia="宋体" w:cs="宋体"/>
          <w:sz w:val="21"/>
          <w:szCs w:val="21"/>
        </w:rPr>
        <w:t>2019年5月15日，亚洲文明对话大会在北京隆重举行。本次大会旨在传承弘扬亚洲和世界各国璀璨辉煌的文明成果，搭建文明互学互鉴、共同发展的平台。我国是一个农耕文明历史悠久的国家，各种农业生产各具特色值得相互借鉴。下图为“我国两种典型的农业生产景观示意图”。据此回答5～6题。</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jc w:val="both"/>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hAnsi="宋体" w:eastAsia="宋体" w:cs="宋体"/>
          <w:sz w:val="21"/>
          <w:szCs w:val="21"/>
          <w:lang w:val="en-US" w:eastAsia="zh-CN"/>
        </w:rPr>
        <w:t xml:space="preserve">                    </w:t>
      </w:r>
      <w:r>
        <w:rPr>
          <w:rFonts w:hint="eastAsia" w:ascii="宋体" w:hAnsi="宋体" w:eastAsia="宋体" w:cs="宋体"/>
          <w:sz w:val="21"/>
          <w:szCs w:val="21"/>
        </w:rPr>
        <w:t>甲</w:t>
      </w:r>
      <w:r>
        <w:rPr>
          <w:rFonts w:hint="eastAsia" w:hAnsi="宋体" w:eastAsia="宋体" w:cs="宋体"/>
          <w:sz w:val="21"/>
          <w:szCs w:val="21"/>
          <w:lang w:val="en-US" w:eastAsia="zh-CN"/>
        </w:rPr>
        <w:t xml:space="preserve">                                   </w:t>
      </w:r>
      <w:r>
        <w:rPr>
          <w:rFonts w:hint="eastAsia" w:ascii="宋体" w:hAnsi="宋体" w:eastAsia="宋体" w:cs="宋体"/>
          <w:sz w:val="21"/>
          <w:szCs w:val="21"/>
        </w:rPr>
        <w:t>乙</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5. 乙农业生产可向甲农业生产借鉴</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提高机械化水平 </w:t>
      </w:r>
      <w:r>
        <w:rPr>
          <w:rFonts w:hint="eastAsia" w:hAnsi="宋体" w:eastAsia="宋体" w:cs="宋体"/>
          <w:sz w:val="21"/>
          <w:szCs w:val="21"/>
          <w:lang w:val="en-US" w:eastAsia="zh-CN"/>
        </w:rPr>
        <w:t xml:space="preserve">   </w:t>
      </w:r>
      <w:r>
        <w:rPr>
          <w:rFonts w:hint="eastAsia" w:ascii="宋体" w:hAnsi="宋体" w:eastAsia="宋体" w:cs="宋体"/>
          <w:sz w:val="21"/>
          <w:szCs w:val="21"/>
        </w:rPr>
        <w:t>B. 增加商品率</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 提高单位面积产量 </w:t>
      </w:r>
      <w:r>
        <w:rPr>
          <w:rFonts w:hint="eastAsia" w:hAnsi="宋体" w:eastAsia="宋体" w:cs="宋体"/>
          <w:sz w:val="21"/>
          <w:szCs w:val="21"/>
          <w:lang w:val="en-US" w:eastAsia="zh-CN"/>
        </w:rPr>
        <w:t xml:space="preserve">   </w:t>
      </w:r>
      <w:r>
        <w:rPr>
          <w:rFonts w:hint="eastAsia" w:ascii="宋体" w:hAnsi="宋体" w:eastAsia="宋体" w:cs="宋体"/>
          <w:sz w:val="21"/>
          <w:szCs w:val="21"/>
        </w:rPr>
        <w:t>D. 扩大生产规模</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6. 与乙农业地域类型一致的是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美国中央大平原 </w:t>
      </w:r>
      <w:r>
        <w:rPr>
          <w:rFonts w:hint="eastAsia" w:hAnsi="宋体" w:eastAsia="宋体" w:cs="宋体"/>
          <w:sz w:val="21"/>
          <w:szCs w:val="21"/>
          <w:lang w:val="en-US" w:eastAsia="zh-CN"/>
        </w:rPr>
        <w:t xml:space="preserve">                  </w:t>
      </w:r>
      <w:r>
        <w:rPr>
          <w:rFonts w:hint="eastAsia" w:ascii="宋体" w:hAnsi="宋体" w:eastAsia="宋体" w:cs="宋体"/>
          <w:sz w:val="21"/>
          <w:szCs w:val="21"/>
        </w:rPr>
        <w:t>B. 阿根廷潘帕斯草原</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C. 欧洲西部地区的乳畜业 </w:t>
      </w:r>
      <w:r>
        <w:rPr>
          <w:rFonts w:hint="eastAsia" w:hAnsi="宋体" w:eastAsia="宋体" w:cs="宋体"/>
          <w:sz w:val="21"/>
          <w:szCs w:val="21"/>
          <w:lang w:val="en-US" w:eastAsia="zh-CN"/>
        </w:rPr>
        <w:t xml:space="preserve">            </w:t>
      </w:r>
      <w:r>
        <w:rPr>
          <w:rFonts w:hint="eastAsia" w:ascii="宋体" w:hAnsi="宋体" w:eastAsia="宋体" w:cs="宋体"/>
          <w:sz w:val="21"/>
          <w:szCs w:val="21"/>
        </w:rPr>
        <w:t>D. 宿迁市区周边的观光农业</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下图为“土地租金、距城市距离与农业生产类型空间变化示意图”。读图回答7～8题。</w:t>
      </w:r>
      <w:r>
        <w:rPr>
          <w:rFonts w:hint="eastAsia" w:ascii="宋体" w:hAnsi="宋体" w:eastAsia="宋体" w:cs="宋体"/>
          <w:sz w:val="21"/>
          <w:szCs w:val="21"/>
        </w:rPr>
        <w:drawing>
          <wp:anchor distT="0" distB="0" distL="114300" distR="114300" simplePos="0" relativeHeight="251665408" behindDoc="1" locked="0" layoutInCell="1" allowOverlap="1">
            <wp:simplePos x="0" y="0"/>
            <wp:positionH relativeFrom="column">
              <wp:posOffset>3562985</wp:posOffset>
            </wp:positionH>
            <wp:positionV relativeFrom="paragraph">
              <wp:posOffset>47625</wp:posOffset>
            </wp:positionV>
            <wp:extent cx="2016125" cy="1676400"/>
            <wp:effectExtent l="0" t="0" r="3175" b="0"/>
            <wp:wrapTight wrapText="bothSides">
              <wp:wrapPolygon>
                <wp:start x="0" y="0"/>
                <wp:lineTo x="0" y="21355"/>
                <wp:lineTo x="21430" y="21355"/>
                <wp:lineTo x="21430" y="0"/>
                <wp:lineTo x="0" y="0"/>
              </wp:wrapPolygon>
            </wp:wrapTight>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8" r:link="rId19"/>
                    <a:stretch>
                      <a:fillRect/>
                    </a:stretch>
                  </pic:blipFill>
                  <pic:spPr>
                    <a:xfrm>
                      <a:off x="0" y="0"/>
                      <a:ext cx="2016125" cy="1676400"/>
                    </a:xfrm>
                    <a:prstGeom prst="rect">
                      <a:avLst/>
                    </a:prstGeom>
                    <a:noFill/>
                    <a:ln>
                      <a:noFill/>
                    </a:ln>
                  </pic:spPr>
                </pic:pic>
              </a:graphicData>
            </a:graphic>
          </wp:anchor>
        </w:drawing>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7. 依据图中信息判断，甲、乙、丙农业生产类型依次是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草地牛羊放牧、花卉蔬菜生产、小麦种植</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B. 花卉蔬菜生产、小麦种植、草地牛羊放牧</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C. 小麦种植、花卉蔬菜生产、草地牛羊放牧</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D. 草地牛羊放牧、小麦种植、花卉蔬菜生产</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rPr>
        <w:t>8. 近年来，甲农业生产类型规模不断扩大，影响其变化的主要因素是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A. 劳动力</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B. 交通 </w:t>
      </w:r>
      <w:r>
        <w:rPr>
          <w:rFonts w:hint="eastAsia" w:hAnsi="宋体" w:eastAsia="宋体" w:cs="宋体"/>
          <w:sz w:val="21"/>
          <w:szCs w:val="21"/>
          <w:lang w:val="en-US" w:eastAsia="zh-CN"/>
        </w:rPr>
        <w:t xml:space="preserve">     </w:t>
      </w:r>
      <w:r>
        <w:rPr>
          <w:rFonts w:hint="eastAsia" w:ascii="宋体" w:hAnsi="宋体" w:eastAsia="宋体" w:cs="宋体"/>
          <w:sz w:val="21"/>
          <w:szCs w:val="21"/>
        </w:rPr>
        <w:t>C. 市场</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 资金</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下图示意我国某地循环农业生产模式。读图完成9～10题。</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INCLUDEPICTURE"21D-169.TIF"</w:instrText>
      </w:r>
      <w:r>
        <w:rPr>
          <w:rFonts w:hint="eastAsia" w:ascii="宋体" w:hAnsi="宋体" w:eastAsia="宋体" w:cs="宋体"/>
          <w:sz w:val="21"/>
          <w:szCs w:val="21"/>
        </w:rPr>
        <w:fldChar w:fldCharType="separate"/>
      </w:r>
      <w:r>
        <w:rPr>
          <w:rFonts w:hint="eastAsia" w:ascii="宋体" w:hAnsi="宋体" w:eastAsia="宋体" w:cs="宋体"/>
          <w:sz w:val="21"/>
          <w:szCs w:val="21"/>
        </w:rPr>
        <w:drawing>
          <wp:inline distT="0" distB="0" distL="114300" distR="114300">
            <wp:extent cx="4178300" cy="1384935"/>
            <wp:effectExtent l="0" t="0" r="12700" b="571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0" r:link="rId21"/>
                    <a:stretch>
                      <a:fillRect/>
                    </a:stretch>
                  </pic:blipFill>
                  <pic:spPr>
                    <a:xfrm>
                      <a:off x="0" y="0"/>
                      <a:ext cx="4178300" cy="1384935"/>
                    </a:xfrm>
                    <a:prstGeom prst="rect">
                      <a:avLst/>
                    </a:prstGeom>
                    <a:noFill/>
                    <a:ln>
                      <a:noFill/>
                    </a:ln>
                  </pic:spPr>
                </pic:pic>
              </a:graphicData>
            </a:graphic>
          </wp:inline>
        </w:drawing>
      </w:r>
      <w:r>
        <w:rPr>
          <w:rFonts w:hint="eastAsia" w:ascii="宋体" w:hAnsi="宋体" w:eastAsia="宋体" w:cs="宋体"/>
          <w:sz w:val="21"/>
          <w:szCs w:val="21"/>
        </w:rPr>
        <w:fldChar w:fldCharType="end"/>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w:t>
      </w:r>
      <w:r>
        <w:rPr>
          <w:rFonts w:hint="eastAsia" w:ascii="宋体" w:hAnsi="宋体" w:eastAsia="宋体" w:cs="宋体"/>
          <w:sz w:val="21"/>
          <w:szCs w:val="21"/>
          <w:lang w:eastAsia="zh-CN"/>
        </w:rPr>
        <w:t>）</w:t>
      </w:r>
      <w:r>
        <w:rPr>
          <w:rFonts w:hint="eastAsia" w:ascii="宋体" w:hAnsi="宋体" w:eastAsia="宋体" w:cs="宋体"/>
          <w:sz w:val="21"/>
          <w:szCs w:val="21"/>
        </w:rPr>
        <w:t>9. 该地的农业地域类型是</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季风水田农业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 乳畜业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C. 大牧场放牧业 </w:t>
      </w:r>
      <w:r>
        <w:rPr>
          <w:rFonts w:hint="eastAsia" w:hAnsi="宋体" w:eastAsia="宋体" w:cs="宋体"/>
          <w:sz w:val="21"/>
          <w:szCs w:val="21"/>
          <w:lang w:val="en-US" w:eastAsia="zh-CN"/>
        </w:rPr>
        <w:t xml:space="preserve">      </w:t>
      </w:r>
      <w:r>
        <w:rPr>
          <w:rFonts w:hint="eastAsia" w:ascii="宋体" w:hAnsi="宋体" w:eastAsia="宋体" w:cs="宋体"/>
          <w:sz w:val="21"/>
          <w:szCs w:val="21"/>
        </w:rPr>
        <w:t>D. 混合农业</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w:t>
      </w:r>
      <w:r>
        <w:rPr>
          <w:rFonts w:hint="eastAsia" w:ascii="宋体" w:hAnsi="宋体" w:eastAsia="宋体" w:cs="宋体"/>
          <w:sz w:val="21"/>
          <w:szCs w:val="21"/>
          <w:lang w:eastAsia="zh-CN"/>
        </w:rPr>
        <w:t>）</w:t>
      </w:r>
      <w:bookmarkStart w:id="0" w:name="_GoBack"/>
      <w:bookmarkEnd w:id="0"/>
      <w:r>
        <w:rPr>
          <w:rFonts w:hint="eastAsia" w:ascii="宋体" w:hAnsi="宋体" w:eastAsia="宋体" w:cs="宋体"/>
          <w:sz w:val="21"/>
          <w:szCs w:val="21"/>
        </w:rPr>
        <w:t>10. 该生产模式的农产品深受消费者青睐是因为</w:t>
      </w:r>
      <w:r>
        <w:rPr>
          <w:rFonts w:hint="eastAsia" w:ascii="宋体" w:hAnsi="宋体" w:eastAsia="宋体" w:cs="宋体"/>
          <w:sz w:val="21"/>
          <w:szCs w:val="21"/>
          <w:lang w:eastAsia="zh-CN"/>
        </w:rPr>
        <w:t>（</w:t>
      </w:r>
      <w:r>
        <w:rPr>
          <w:rFonts w:hint="eastAsia" w:ascii="宋体" w:hAnsi="宋体" w:eastAsia="宋体" w:cs="宋体"/>
          <w:sz w:val="21"/>
          <w:szCs w:val="21"/>
        </w:rPr>
        <w:t>　　</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ind w:firstLine="210" w:firstLineChars="100"/>
        <w:textAlignment w:val="auto"/>
        <w:rPr>
          <w:rFonts w:hint="eastAsia" w:ascii="宋体" w:hAnsi="宋体" w:eastAsia="宋体" w:cs="宋体"/>
          <w:sz w:val="21"/>
          <w:szCs w:val="21"/>
        </w:rPr>
      </w:pPr>
      <w:r>
        <w:rPr>
          <w:rFonts w:hint="eastAsia" w:ascii="宋体" w:hAnsi="宋体" w:eastAsia="宋体" w:cs="宋体"/>
          <w:sz w:val="21"/>
          <w:szCs w:val="21"/>
        </w:rPr>
        <w:t xml:space="preserve">A. 价格低廉 </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B. 减耗保鲜 </w:t>
      </w:r>
      <w:r>
        <w:rPr>
          <w:rFonts w:hint="eastAsia" w:hAnsi="宋体" w:eastAsia="宋体" w:cs="宋体"/>
          <w:sz w:val="21"/>
          <w:szCs w:val="21"/>
          <w:lang w:val="en-US" w:eastAsia="zh-CN"/>
        </w:rPr>
        <w:t xml:space="preserve">     </w:t>
      </w:r>
      <w:r>
        <w:rPr>
          <w:rFonts w:hint="eastAsia" w:ascii="宋体" w:hAnsi="宋体" w:eastAsia="宋体" w:cs="宋体"/>
          <w:sz w:val="21"/>
          <w:szCs w:val="21"/>
        </w:rPr>
        <w:t>C. 绿色优质</w:t>
      </w:r>
      <w:r>
        <w:rPr>
          <w:rFonts w:hint="eastAsia" w:hAnsi="宋体" w:eastAsia="宋体" w:cs="宋体"/>
          <w:sz w:val="21"/>
          <w:szCs w:val="21"/>
          <w:lang w:val="en-US" w:eastAsia="zh-CN"/>
        </w:rPr>
        <w:t xml:space="preserve">          </w:t>
      </w:r>
      <w:r>
        <w:rPr>
          <w:rFonts w:hint="eastAsia" w:ascii="宋体" w:hAnsi="宋体" w:eastAsia="宋体" w:cs="宋体"/>
          <w:sz w:val="21"/>
          <w:szCs w:val="21"/>
        </w:rPr>
        <w:t xml:space="preserve"> D. 品种丰富</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二、 综合题</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11. 阅读材料，回答下列问题。</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drawing>
          <wp:anchor distT="0" distB="0" distL="114300" distR="114300" simplePos="0" relativeHeight="251666432" behindDoc="1" locked="0" layoutInCell="1" allowOverlap="1">
            <wp:simplePos x="0" y="0"/>
            <wp:positionH relativeFrom="column">
              <wp:posOffset>3543300</wp:posOffset>
            </wp:positionH>
            <wp:positionV relativeFrom="paragraph">
              <wp:posOffset>456565</wp:posOffset>
            </wp:positionV>
            <wp:extent cx="1982470" cy="1311910"/>
            <wp:effectExtent l="0" t="0" r="17780" b="40640"/>
            <wp:wrapTight wrapText="bothSides">
              <wp:wrapPolygon>
                <wp:start x="0" y="0"/>
                <wp:lineTo x="0" y="21328"/>
                <wp:lineTo x="21379" y="21328"/>
                <wp:lineTo x="21379" y="0"/>
                <wp:lineTo x="0" y="0"/>
              </wp:wrapPolygon>
            </wp:wrapTight>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2" r:link="rId23"/>
                    <a:stretch>
                      <a:fillRect/>
                    </a:stretch>
                  </pic:blipFill>
                  <pic:spPr>
                    <a:xfrm>
                      <a:off x="0" y="0"/>
                      <a:ext cx="1982470" cy="1311910"/>
                    </a:xfrm>
                    <a:prstGeom prst="rect">
                      <a:avLst/>
                    </a:prstGeom>
                    <a:noFill/>
                    <a:ln>
                      <a:noFill/>
                    </a:ln>
                  </pic:spPr>
                </pic:pic>
              </a:graphicData>
            </a:graphic>
          </wp:anchor>
        </w:drawing>
      </w:r>
      <w:r>
        <w:rPr>
          <w:rFonts w:hint="eastAsia" w:ascii="宋体" w:hAnsi="宋体" w:eastAsia="宋体" w:cs="宋体"/>
          <w:sz w:val="21"/>
          <w:szCs w:val="21"/>
        </w:rPr>
        <w:t>材料一　四川省栽种柑橘的历史悠久，晋《蜀都赋》中有“家有盐泉之井，户有橘柚之园”的描述。蒲江县位于北纬30°附近地区，为亚热带季风气候，地形以低山丘陵为主，土壤主要为紫色土，肥力较高，该地水资源丰富，水质纯净清澈，无污染。</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材料二　近年来，蒲江县培育出了适应蒲江地理环境的优质柑橘品种。因其外观丑陋，皮肤粗糙，被称为“蒲江丑柑”。</w:t>
      </w:r>
      <w:r>
        <w:rPr>
          <w:rFonts w:hint="eastAsia" w:ascii="宋体" w:hAnsi="宋体" w:eastAsia="宋体" w:cs="宋体"/>
          <w:sz w:val="21"/>
          <w:szCs w:val="21"/>
          <w:lang w:eastAsia="zh-CN"/>
        </w:rPr>
        <w:t>（</w:t>
      </w:r>
      <w:r>
        <w:rPr>
          <w:rFonts w:hint="eastAsia" w:ascii="宋体" w:hAnsi="宋体" w:eastAsia="宋体" w:cs="宋体"/>
          <w:sz w:val="21"/>
          <w:szCs w:val="21"/>
        </w:rPr>
        <w:t>如下图所示</w:t>
      </w:r>
      <w:r>
        <w:rPr>
          <w:rFonts w:hint="eastAsia" w:ascii="宋体" w:hAnsi="宋体" w:eastAsia="宋体" w:cs="宋体"/>
          <w:sz w:val="21"/>
          <w:szCs w:val="21"/>
          <w:lang w:eastAsia="zh-CN"/>
        </w:rPr>
        <w:t>）</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蒲江丑柑生长周期较长，春季开花，10～12月果熟，然后采用“留树保鲜”技术，呈现花果同树的美景，到第二年春天上市，形成了错峰上市的优势。近年来当地通过各大电商平台销售的丑柑比重不断上升。</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eastAsia="zh-CN"/>
        </w:rPr>
        <w:t>（</w:t>
      </w:r>
      <w:r>
        <w:rPr>
          <w:rFonts w:hint="eastAsia" w:hAnsi="宋体" w:eastAsia="宋体" w:cs="宋体"/>
          <w:sz w:val="21"/>
          <w:szCs w:val="21"/>
          <w:lang w:val="en-US" w:eastAsia="zh-CN"/>
        </w:rPr>
        <w:t>1</w:t>
      </w:r>
      <w:r>
        <w:rPr>
          <w:rFonts w:hint="eastAsia" w:hAnsi="宋体" w:eastAsia="宋体" w:cs="宋体"/>
          <w:sz w:val="21"/>
          <w:szCs w:val="21"/>
          <w:lang w:eastAsia="zh-CN"/>
        </w:rPr>
        <w:t>）</w:t>
      </w:r>
      <w:r>
        <w:rPr>
          <w:rFonts w:hint="eastAsia" w:ascii="宋体" w:hAnsi="宋体" w:eastAsia="宋体" w:cs="宋体"/>
          <w:sz w:val="21"/>
          <w:szCs w:val="21"/>
        </w:rPr>
        <w:t>蒲江县种植丑柑有利的自然条件有：__________________________________</w:t>
      </w:r>
      <w:r>
        <w:rPr>
          <w:rFonts w:hint="eastAsia" w:hAnsi="宋体" w:eastAsia="宋体" w:cs="宋体"/>
          <w:sz w:val="21"/>
          <w:szCs w:val="21"/>
          <w:lang w:val="en-US" w:eastAsia="zh-CN"/>
        </w:rPr>
        <w:t>__________</w:t>
      </w:r>
      <w:r>
        <w:rPr>
          <w:rFonts w:hint="eastAsia" w:ascii="宋体" w:hAnsi="宋体" w:eastAsia="宋体" w:cs="宋体"/>
          <w:sz w:val="21"/>
          <w:szCs w:val="21"/>
        </w:rPr>
        <w:t>__</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default" w:ascii="宋体" w:hAnsi="宋体" w:eastAsia="宋体" w:cs="宋体"/>
          <w:sz w:val="21"/>
          <w:szCs w:val="21"/>
          <w:lang w:val="en-US" w:eastAsia="zh-CN"/>
        </w:rPr>
      </w:pPr>
      <w:r>
        <w:rPr>
          <w:rFonts w:hint="eastAsia" w:ascii="宋体" w:hAnsi="宋体" w:eastAsia="宋体" w:cs="宋体"/>
          <w:sz w:val="21"/>
          <w:szCs w:val="21"/>
        </w:rPr>
        <w:t>________________________________________________________________________</w:t>
      </w:r>
      <w:r>
        <w:rPr>
          <w:rFonts w:hint="eastAsia" w:hAnsi="宋体" w:eastAsia="宋体" w:cs="宋体"/>
          <w:sz w:val="21"/>
          <w:szCs w:val="21"/>
          <w:lang w:val="en-US" w:eastAsia="zh-CN"/>
        </w:rPr>
        <w:t>___________</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default" w:ascii="宋体" w:hAnsi="宋体" w:eastAsia="宋体" w:cs="宋体"/>
          <w:sz w:val="21"/>
          <w:szCs w:val="21"/>
          <w:lang w:val="en-US" w:eastAsia="zh-CN"/>
        </w:rPr>
      </w:pPr>
      <w:r>
        <w:rPr>
          <w:rFonts w:hint="eastAsia" w:hAnsi="宋体" w:eastAsia="宋体" w:cs="宋体"/>
          <w:sz w:val="21"/>
          <w:szCs w:val="21"/>
          <w:lang w:val="en-US" w:eastAsia="zh-CN"/>
        </w:rPr>
        <w:t>__________________________________________________________________________________。</w:t>
      </w:r>
    </w:p>
    <w:p>
      <w:pPr>
        <w:pStyle w:val="4"/>
        <w:keepNext w:val="0"/>
        <w:keepLines w:val="0"/>
        <w:pageBreakBefore w:val="0"/>
        <w:widowControl w:val="0"/>
        <w:numPr>
          <w:ilvl w:val="0"/>
          <w:numId w:val="1"/>
        </w:numPr>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ascii="宋体" w:hAnsi="宋体" w:eastAsia="宋体" w:cs="宋体"/>
          <w:sz w:val="21"/>
          <w:szCs w:val="21"/>
        </w:rPr>
        <w:t>为扩大丑柑的市场销售量，当地采取的主要措施是_____________</w:t>
      </w:r>
      <w:r>
        <w:rPr>
          <w:rFonts w:hint="eastAsia" w:hAnsi="宋体" w:eastAsia="宋体" w:cs="宋体"/>
          <w:sz w:val="21"/>
          <w:szCs w:val="21"/>
          <w:lang w:val="en-US" w:eastAsia="zh-CN"/>
        </w:rPr>
        <w:t>____________</w:t>
      </w:r>
      <w:r>
        <w:rPr>
          <w:rFonts w:hint="eastAsia" w:ascii="宋体" w:hAnsi="宋体" w:eastAsia="宋体" w:cs="宋体"/>
          <w:sz w:val="21"/>
          <w:szCs w:val="21"/>
        </w:rPr>
        <w:t>______</w:t>
      </w:r>
      <w:r>
        <w:rPr>
          <w:rFonts w:hint="eastAsia" w:hAnsi="宋体" w:eastAsia="宋体" w:cs="宋体"/>
          <w:sz w:val="21"/>
          <w:szCs w:val="21"/>
          <w:lang w:val="en-US" w:eastAsia="zh-CN"/>
        </w:rPr>
        <w:t>___</w:t>
      </w:r>
    </w:p>
    <w:p>
      <w:pPr>
        <w:pStyle w:val="4"/>
        <w:keepNext w:val="0"/>
        <w:keepLines w:val="0"/>
        <w:pageBreakBefore w:val="0"/>
        <w:widowControl w:val="0"/>
        <w:numPr>
          <w:ilvl w:val="0"/>
          <w:numId w:val="0"/>
        </w:numPr>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rPr>
      </w:pPr>
      <w:r>
        <w:rPr>
          <w:rFonts w:hint="eastAsia" w:hAnsi="宋体" w:eastAsia="宋体" w:cs="宋体"/>
          <w:sz w:val="21"/>
          <w:szCs w:val="21"/>
          <w:lang w:val="en-US" w:eastAsia="zh-CN"/>
        </w:rPr>
        <w:t>____________________________________________________________________________</w:t>
      </w:r>
      <w:r>
        <w:rPr>
          <w:rFonts w:hint="eastAsia" w:ascii="宋体" w:hAnsi="宋体" w:eastAsia="宋体" w:cs="宋体"/>
          <w:sz w:val="21"/>
          <w:szCs w:val="21"/>
        </w:rPr>
        <w:t>______。</w:t>
      </w:r>
    </w:p>
    <w:p>
      <w:pPr>
        <w:pStyle w:val="4"/>
        <w:keepNext w:val="0"/>
        <w:keepLines w:val="0"/>
        <w:pageBreakBefore w:val="0"/>
        <w:widowControl w:val="0"/>
        <w:tabs>
          <w:tab w:val="left" w:pos="4320"/>
        </w:tabs>
        <w:kinsoku/>
        <w:wordWrap/>
        <w:overflowPunct/>
        <w:topLinePunct w:val="0"/>
        <w:bidi w:val="0"/>
        <w:adjustRightInd/>
        <w:snapToGrid w:val="0"/>
        <w:spacing w:line="240" w:lineRule="auto"/>
        <w:textAlignment w:val="auto"/>
        <w:rPr>
          <w:rFonts w:hint="eastAsia" w:ascii="宋体" w:hAnsi="宋体" w:eastAsia="宋体" w:cs="宋体"/>
          <w:sz w:val="21"/>
          <w:szCs w:val="21"/>
          <w:lang w:val="zh-CN"/>
        </w:rPr>
      </w:pPr>
      <w:r>
        <w:rPr>
          <w:rFonts w:hint="eastAsia" w:hAnsi="宋体" w:eastAsia="宋体" w:cs="宋体"/>
          <w:sz w:val="21"/>
          <w:szCs w:val="21"/>
          <w:lang w:eastAsia="zh-CN"/>
        </w:rPr>
        <w:t>（</w:t>
      </w:r>
      <w:r>
        <w:rPr>
          <w:rFonts w:hint="eastAsia" w:hAnsi="宋体" w:eastAsia="宋体" w:cs="宋体"/>
          <w:sz w:val="21"/>
          <w:szCs w:val="21"/>
          <w:lang w:val="en-US" w:eastAsia="zh-CN"/>
        </w:rPr>
        <w:t>3</w:t>
      </w:r>
      <w:r>
        <w:rPr>
          <w:rFonts w:hint="eastAsia" w:hAnsi="宋体" w:eastAsia="宋体" w:cs="宋体"/>
          <w:sz w:val="21"/>
          <w:szCs w:val="21"/>
          <w:lang w:eastAsia="zh-CN"/>
        </w:rPr>
        <w:t>）</w:t>
      </w:r>
      <w:r>
        <w:rPr>
          <w:rFonts w:hint="eastAsia" w:ascii="宋体" w:hAnsi="宋体" w:eastAsia="宋体" w:cs="宋体"/>
          <w:sz w:val="21"/>
          <w:szCs w:val="21"/>
        </w:rPr>
        <w:t>请你为进一步提高丑柑种植收益并促进丑柑产业的可持续发展提出合理建议。</w:t>
      </w: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BAD099"/>
    <w:multiLevelType w:val="singleLevel"/>
    <w:tmpl w:val="5FBAD099"/>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15005C3"/>
    <w:rsid w:val="08853FFD"/>
    <w:rsid w:val="08932218"/>
    <w:rsid w:val="144C05B9"/>
    <w:rsid w:val="18ED4E72"/>
    <w:rsid w:val="1F05716C"/>
    <w:rsid w:val="20B174CF"/>
    <w:rsid w:val="20DC5095"/>
    <w:rsid w:val="2A701A70"/>
    <w:rsid w:val="2CBE5A9D"/>
    <w:rsid w:val="36617D4E"/>
    <w:rsid w:val="427775EB"/>
    <w:rsid w:val="44A45283"/>
    <w:rsid w:val="46E2201C"/>
    <w:rsid w:val="4D395041"/>
    <w:rsid w:val="506A56F9"/>
    <w:rsid w:val="52193EB6"/>
    <w:rsid w:val="53B306D2"/>
    <w:rsid w:val="57D0104D"/>
    <w:rsid w:val="59E6664E"/>
    <w:rsid w:val="5C5824A2"/>
    <w:rsid w:val="60E34E2E"/>
    <w:rsid w:val="639210F8"/>
    <w:rsid w:val="73016438"/>
    <w:rsid w:val="78FB0DC0"/>
    <w:rsid w:val="7A5D31C3"/>
    <w:rsid w:val="7CC62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Plain Text"/>
    <w:basedOn w:val="1"/>
    <w:qFormat/>
    <w:uiPriority w:val="0"/>
    <w:rPr>
      <w:rFonts w:ascii="宋体" w:hAnsi="Courier New" w:cs="Courier New"/>
      <w:szCs w:val="21"/>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widowControl/>
      <w:spacing w:before="0" w:beforeAutospacing="1" w:after="0" w:afterAutospacing="1"/>
      <w:ind w:left="0" w:right="0"/>
      <w:jc w:val="left"/>
    </w:pPr>
    <w:rPr>
      <w:rFonts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file:///E:\&#21335;&#20140;&#25903;&#28857;\&#23398;&#19994;&#27700;&#22320;&#29702;\21D-379.TIF" TargetMode="Externa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file:///E:\&#21335;&#20140;&#25903;&#28857;\&#23398;&#19994;&#27700;&#22320;&#29702;\21D-159.TIF" TargetMode="Externa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file:///E:\&#21335;&#20140;&#25903;&#28857;\&#23398;&#19994;&#27700;&#22320;&#29702;\21D-170.TIF" TargetMode="External"/><Relationship Id="rId22" Type="http://schemas.openxmlformats.org/officeDocument/2006/relationships/image" Target="media/image10.png"/><Relationship Id="rId21" Type="http://schemas.openxmlformats.org/officeDocument/2006/relationships/image" Target="file:///E:\&#21335;&#20140;&#25903;&#28857;\&#23398;&#19994;&#27700;&#22320;&#29702;\21D-169.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file:///E:\&#21335;&#20140;&#25903;&#28857;\&#23398;&#19994;&#27700;&#22320;&#29702;\21D-168.TIF" TargetMode="External"/><Relationship Id="rId18" Type="http://schemas.openxmlformats.org/officeDocument/2006/relationships/image" Target="media/image8.png"/><Relationship Id="rId17" Type="http://schemas.openxmlformats.org/officeDocument/2006/relationships/image" Target="file:///E:\&#21335;&#20140;&#25903;&#28857;\&#23398;&#19994;&#27700;&#22320;&#29702;\21D-167.TIF" TargetMode="External"/><Relationship Id="rId16" Type="http://schemas.openxmlformats.org/officeDocument/2006/relationships/image" Target="media/image7.png"/><Relationship Id="rId15" Type="http://schemas.openxmlformats.org/officeDocument/2006/relationships/image" Target="file:///E:\&#21335;&#20140;&#25903;&#28857;\&#23398;&#19994;&#27700;&#22320;&#29702;\21D-166.TIF" TargetMode="External"/><Relationship Id="rId14" Type="http://schemas.openxmlformats.org/officeDocument/2006/relationships/image" Target="media/image6.png"/><Relationship Id="rId13" Type="http://schemas.openxmlformats.org/officeDocument/2006/relationships/image" Target="file:///E:\&#21335;&#20140;&#25903;&#28857;\&#23398;&#19994;&#27700;&#22320;&#29702;\21D-165.TIF" TargetMode="External"/><Relationship Id="rId12" Type="http://schemas.openxmlformats.org/officeDocument/2006/relationships/image" Target="media/image5.png"/><Relationship Id="rId11" Type="http://schemas.openxmlformats.org/officeDocument/2006/relationships/image" Target="file:///E:\&#21335;&#20140;&#25903;&#28857;\&#23398;&#19994;&#27700;&#22320;&#29702;\21D-164.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2379</Words>
  <Characters>3018</Characters>
  <Lines>0</Lines>
  <Paragraphs>0</Paragraphs>
  <TotalTime>0</TotalTime>
  <ScaleCrop>false</ScaleCrop>
  <LinksUpToDate>false</LinksUpToDate>
  <CharactersWithSpaces>3449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2022-12-02T06:45:16Z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FED50A6072D84148B5561AEA5962AEE2</vt:lpwstr>
  </property>
</Properties>
</file>