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江苏省仪征中学2021-2022学年度第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2.1  碳排放和环境安全</w:t>
      </w:r>
    </w:p>
    <w:p>
      <w:pPr>
        <w:autoSpaceDE w:val="0"/>
        <w:autoSpaceDN w:val="0"/>
        <w:jc w:val="center"/>
        <w:rPr>
          <w:rFonts w:ascii="楷体" w:hAnsi="楷体" w:eastAsia="楷体" w:cs="楷体"/>
          <w:bCs/>
          <w:sz w:val="24"/>
        </w:rPr>
      </w:pPr>
      <w:r>
        <w:rPr>
          <w:rFonts w:hint="eastAsia" w:ascii="楷体" w:hAnsi="楷体" w:eastAsia="楷体" w:cs="楷体"/>
          <w:bCs/>
          <w:sz w:val="24"/>
        </w:rPr>
        <w:t>研制</w:t>
      </w:r>
      <w:r>
        <w:rPr>
          <w:rFonts w:hint="eastAsia" w:ascii="楷体" w:hAnsi="楷体" w:eastAsia="楷体" w:cs="楷体"/>
          <w:bCs/>
          <w:sz w:val="24"/>
          <w:szCs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秦文俊</w:t>
      </w:r>
      <w:r>
        <w:rPr>
          <w:rFonts w:hint="eastAsia" w:ascii="楷体" w:hAnsi="楷体" w:eastAsia="楷体" w:cs="楷体"/>
          <w:bCs/>
          <w:sz w:val="24"/>
        </w:rPr>
        <w:t xml:space="preserve">   </w:t>
      </w:r>
      <w:r>
        <w:rPr>
          <w:rFonts w:hint="eastAsia" w:ascii="楷体" w:hAnsi="楷体" w:eastAsia="楷体" w:cs="楷体"/>
          <w:bCs/>
          <w:sz w:val="24"/>
          <w:lang w:val="en-US" w:eastAsia="zh-CN"/>
        </w:rPr>
        <w:t xml:space="preserve">  </w:t>
      </w:r>
      <w:r>
        <w:rPr>
          <w:rFonts w:hint="eastAsia" w:ascii="楷体" w:hAnsi="楷体" w:eastAsia="楷体" w:cs="楷体"/>
          <w:bCs/>
          <w:sz w:val="24"/>
        </w:rPr>
        <w:t xml:space="preserve">   审</w:t>
      </w:r>
      <w:r>
        <w:rPr>
          <w:rFonts w:hint="eastAsia" w:ascii="楷体" w:hAnsi="楷体" w:eastAsia="楷体" w:cs="楷体"/>
          <w:sz w:val="24"/>
        </w:rPr>
        <w:t>核</w:t>
      </w:r>
      <w:r>
        <w:rPr>
          <w:rFonts w:hint="eastAsia" w:ascii="楷体" w:hAnsi="楷体" w:eastAsia="楷体" w:cs="楷体"/>
          <w:bCs/>
          <w:sz w:val="24"/>
          <w:szCs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刘永飞</w:t>
      </w:r>
      <w:r>
        <w:rPr>
          <w:rFonts w:hint="eastAsia" w:ascii="楷体" w:hAnsi="楷体" w:eastAsia="楷体" w:cs="楷体"/>
          <w:bCs/>
          <w:sz w:val="24"/>
        </w:rPr>
        <w:t xml:space="preserve">    </w:t>
      </w:r>
    </w:p>
    <w:p>
      <w:pPr>
        <w:snapToGrid w:val="0"/>
        <w:jc w:val="center"/>
        <w:rPr>
          <w:rFonts w:hint="eastAsia" w:eastAsia="楷体"/>
          <w:bCs/>
          <w:sz w:val="24"/>
          <w:lang w:val="en-US" w:eastAsia="zh-CN"/>
        </w:rPr>
      </w:pPr>
      <w:r>
        <w:rPr>
          <w:rFonts w:eastAsia="楷体"/>
          <w:bCs/>
          <w:sz w:val="24"/>
        </w:rPr>
        <w:t>班级：</w:t>
      </w:r>
      <w:r>
        <w:rPr>
          <w:rFonts w:hint="eastAsia" w:eastAsia="楷体"/>
          <w:bCs/>
          <w:sz w:val="24"/>
          <w:lang w:val="en-US" w:eastAsia="zh-CN"/>
        </w:rPr>
        <w:t>________</w:t>
      </w:r>
      <w:r>
        <w:rPr>
          <w:rFonts w:hint="eastAsia" w:eastAsia="楷体"/>
          <w:bCs/>
          <w:sz w:val="24"/>
        </w:rPr>
        <w:t xml:space="preserve"> </w:t>
      </w:r>
      <w:r>
        <w:rPr>
          <w:rFonts w:eastAsia="楷体"/>
          <w:bCs/>
          <w:sz w:val="24"/>
        </w:rPr>
        <w:t>姓名：</w:t>
      </w:r>
      <w:r>
        <w:rPr>
          <w:rFonts w:hint="eastAsia" w:eastAsia="楷体"/>
          <w:bCs/>
          <w:sz w:val="24"/>
          <w:lang w:val="en-US" w:eastAsia="zh-CN"/>
        </w:rPr>
        <w:t>_________学号：________</w:t>
      </w:r>
      <w:r>
        <w:rPr>
          <w:rFonts w:hint="eastAsia" w:ascii="楷体" w:hAnsi="楷体" w:eastAsia="楷体" w:cs="楷体"/>
          <w:bCs/>
          <w:sz w:val="24"/>
          <w:lang w:eastAsia="zh-CN"/>
        </w:rPr>
        <w:t>授课日期</w:t>
      </w:r>
      <w:r>
        <w:rPr>
          <w:rFonts w:hint="eastAsia" w:ascii="楷体" w:hAnsi="楷体" w:eastAsia="楷体" w:cs="楷体"/>
          <w:bCs/>
          <w:sz w:val="24"/>
        </w:rPr>
        <w:t>：</w:t>
      </w:r>
      <w:r>
        <w:rPr>
          <w:rFonts w:hint="eastAsia" w:ascii="楷体" w:hAnsi="楷体" w:eastAsia="楷体" w:cs="楷体"/>
          <w:bCs/>
          <w:sz w:val="24"/>
          <w:lang w:val="en-US" w:eastAsia="zh-CN"/>
        </w:rPr>
        <w:t>___</w:t>
      </w:r>
      <w:r>
        <w:rPr>
          <w:rFonts w:hint="eastAsia" w:ascii="楷体" w:hAnsi="楷体" w:eastAsia="楷体" w:cs="楷体"/>
          <w:bCs/>
          <w:sz w:val="24"/>
        </w:rPr>
        <w:t>年</w:t>
      </w:r>
      <w:r>
        <w:rPr>
          <w:rFonts w:hint="eastAsia" w:ascii="楷体" w:hAnsi="楷体" w:eastAsia="楷体" w:cs="楷体"/>
          <w:bCs/>
          <w:sz w:val="24"/>
          <w:lang w:val="en-US" w:eastAsia="zh-CN"/>
        </w:rPr>
        <w:t>___</w:t>
      </w:r>
      <w:r>
        <w:rPr>
          <w:rFonts w:hint="eastAsia" w:ascii="楷体" w:hAnsi="楷体" w:eastAsia="楷体" w:cs="楷体"/>
          <w:bCs/>
          <w:sz w:val="24"/>
        </w:rPr>
        <w:t>月</w:t>
      </w:r>
      <w:r>
        <w:rPr>
          <w:rFonts w:hint="eastAsia" w:ascii="楷体" w:hAnsi="楷体" w:eastAsia="楷体" w:cs="楷体"/>
          <w:bCs/>
          <w:sz w:val="24"/>
          <w:lang w:val="en-US" w:eastAsia="zh-CN"/>
        </w:rPr>
        <w:t>____</w:t>
      </w:r>
      <w:r>
        <w:rPr>
          <w:rFonts w:hint="eastAsia" w:ascii="楷体" w:hAnsi="楷体" w:eastAsia="楷体" w:cs="楷体"/>
          <w:bCs/>
          <w:sz w:val="24"/>
        </w:rPr>
        <w:t>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495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31"/>
        <w:gridCol w:w="5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863"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3136"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863"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ascii="Times New Roman" w:hAnsi="Times New Roman" w:cs="Times New Roman"/>
              </w:rPr>
              <w:t>运用碳循环和温室效应原理，分析碳排放对环境的影响，说明碳减排国际合作的重要性。</w:t>
            </w:r>
          </w:p>
        </w:tc>
        <w:tc>
          <w:tcPr>
            <w:tcW w:w="3136" w:type="pct"/>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运用示意图，理解碳循环和温室效应原理。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ascii="Times New Roman" w:hAnsi="Times New Roman" w:cs="Times New Roman"/>
              </w:rPr>
              <w:t>2.通过相关资料，分析碳排放对环境的影响。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ascii="Times New Roman" w:hAnsi="Times New Roman" w:cs="Times New Roman"/>
              </w:rPr>
              <w:t>3.结合碳减排的措施，说明碳减排国际合作的重要性。</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阅读选择性必修</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教材第</w:t>
      </w:r>
      <w:r>
        <w:rPr>
          <w:rFonts w:hint="eastAsia" w:ascii="宋体" w:hAnsi="宋体" w:eastAsia="宋体" w:cs="宋体"/>
          <w:b w:val="0"/>
          <w:bCs/>
          <w:sz w:val="21"/>
          <w:szCs w:val="21"/>
          <w:lang w:val="en-US" w:eastAsia="zh-CN"/>
        </w:rPr>
        <w:t>56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65</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一、自然界的碳循环与温室效应</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1．概念：碳元素不断地在大气圈、水圈、岩石圈以及生物圈之间进行转移和</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，构成了自然界的碳循环。</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2．过程</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大气中的二氧化碳被</w:t>
      </w:r>
      <w:r>
        <w:rPr>
          <w:rFonts w:hint="eastAsia" w:ascii="宋体" w:hAnsi="宋体" w:eastAsia="宋体" w:cs="宋体"/>
          <w:sz w:val="21"/>
          <w:szCs w:val="21"/>
          <w:u w:val="single"/>
        </w:rPr>
        <w:t>植物</w:t>
      </w:r>
      <w:r>
        <w:rPr>
          <w:rFonts w:hint="eastAsia" w:ascii="宋体" w:hAnsi="宋体" w:eastAsia="宋体" w:cs="宋体"/>
          <w:sz w:val="21"/>
          <w:szCs w:val="21"/>
        </w:rPr>
        <w:t>吸收，通过光合作用形成有机碳固定在生物体内，有些生物在地壳运动中被掩埋，经过漫长的时间形成化石燃料。生物的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、化石燃料的燃烧以及人类活动等，都能使有机碳转化为二氧化碳，重新返回到大气中。</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3．特点：相对稳定，并维持着</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平衡。</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4．碳排放与温室效应</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75"/>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337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温室气体</w:t>
            </w:r>
          </w:p>
        </w:tc>
        <w:tc>
          <w:tcPr>
            <w:tcW w:w="447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温室效应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概念</w:t>
            </w:r>
          </w:p>
        </w:tc>
        <w:tc>
          <w:tcPr>
            <w:tcW w:w="337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指大气中能让太阳短波辐射透入，而阻止地面和低层大气长波辐射逸出的气体，主要有水汽、二氧化碳、氧化亚氮、甲烷等30多种气体</w:t>
            </w:r>
          </w:p>
        </w:tc>
        <w:tc>
          <w:tcPr>
            <w:tcW w:w="447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近地面大气中的二氧化碳和水汽等吸收地面长波辐射，并通过</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将热量返还给地面。大气的这种保温作用称为温室效应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相互关系</w:t>
            </w:r>
          </w:p>
        </w:tc>
        <w:tc>
          <w:tcPr>
            <w:tcW w:w="7845" w:type="dxa"/>
            <w:gridSpan w:val="2"/>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大气中二氧化碳等温室气体所产生的温室效应维持着地球表面的温度，人类活动引起的温室气体含量的变化会影响地球的温室效应</w:t>
            </w:r>
          </w:p>
        </w:tc>
      </w:tr>
    </w:tbl>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二、碳排放对环境的影响</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1．二氧化碳浓度增加的原因</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消耗量大，化石燃料燃烧释放热能，并向大气中排放二氧化碳。</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(2)人类对</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、草原等的大规模破坏，导致植物对大气中二氧化碳的吸收和贮存减少。</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(3)地表水域逐渐减少，二氧化碳的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、溶解条件受到干扰。</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2．影响</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使得大气中二氧化碳的含量增加，破坏了自然界中原有的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和碳平衡，增强了大气的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，加剧了</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，深刻地影响着全球的环境安全。</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t>思考</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r:link="rId9"/>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sz w:val="21"/>
          <w:szCs w:val="21"/>
        </w:rPr>
        <w:t>　简述全球气候变暖的原因。</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三、碳减排中的国际合作</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1．原因：碳排放导致的环境问题往往具有</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性。</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2．原则：遵循“共同但有</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的责任”的原则。</w:t>
      </w:r>
    </w:p>
    <w:tbl>
      <w:tblPr>
        <w:tblStyle w:val="5"/>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00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国家类型</w:t>
            </w:r>
          </w:p>
        </w:tc>
        <w:tc>
          <w:tcPr>
            <w:tcW w:w="200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碳减排中的责任</w:t>
            </w:r>
          </w:p>
        </w:tc>
        <w:tc>
          <w:tcPr>
            <w:tcW w:w="4961"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发达国家</w:t>
            </w:r>
          </w:p>
        </w:tc>
        <w:tc>
          <w:tcPr>
            <w:tcW w:w="200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有义务在碳减排国际合作中承担</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的责任</w:t>
            </w:r>
          </w:p>
        </w:tc>
        <w:tc>
          <w:tcPr>
            <w:tcW w:w="4961"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大气中人为增加的二氧化碳主要是由</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国家的工业化产生的。到目前为止，发达国家人均碳排放量仍是世界上</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的。此外，发达国家还通过产业转移的方式进行</w:t>
            </w:r>
            <w:r>
              <w:rPr>
                <w:rFonts w:hint="eastAsia"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发展中国家</w:t>
            </w:r>
          </w:p>
        </w:tc>
        <w:tc>
          <w:tcPr>
            <w:tcW w:w="200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妥善处理</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和碳排放的关系</w:t>
            </w:r>
          </w:p>
        </w:tc>
        <w:tc>
          <w:tcPr>
            <w:tcW w:w="4961"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广大发展中国家在很大程度上是受害者。发展中国家未来较长一段时期内都将处于经济社会发展期，碳排放总量</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趋势在短期内难以逆转</w:t>
            </w:r>
          </w:p>
        </w:tc>
      </w:tr>
    </w:tbl>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3.国际合作中的碳交易</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(1)概念：《京都议定书》把二氧化碳</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确定为一种商品，并在国家或地区间建立起二氧化碳排放的“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机制”，简称碳交易。</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(2)规则：为体现公平性原则，《京都议定书》对已经签署协议的发达国家的碳减排额有定量的</w:t>
      </w:r>
      <w:r>
        <w:rPr>
          <w:rFonts w:hint="eastAsia" w:hAnsi="宋体" w:eastAsia="宋体" w:cs="宋体"/>
          <w:sz w:val="21"/>
          <w:szCs w:val="21"/>
          <w:lang w:val="en-US" w:eastAsia="zh-CN"/>
        </w:rPr>
        <w:t>____</w:t>
      </w:r>
      <w:r>
        <w:rPr>
          <w:rFonts w:hint="eastAsia" w:ascii="宋体" w:hAnsi="宋体" w:eastAsia="宋体" w:cs="宋体"/>
          <w:sz w:val="21"/>
          <w:szCs w:val="21"/>
        </w:rPr>
        <w:t>要求，对发展中国家则没有。发达国家为了在规定时间内完成碳减排指标，可以通过</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等措施帮助发展中国家实现碳减排，也可通过购买发展中国家的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抵消自身的碳减排指标。</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4．碳减排中的中国贡献</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(1)中国的承诺：中国二氧化碳排放</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年左右达到峰值并争取尽早实现。</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(2)中国的合作：我国积极参与全球</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，推进气候变化、清洁能源、生态保护、低碳智慧型城市建设等领域的国际合作。</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(3)中国的行动：我国积极推进绿色发展，构建</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体系。</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1"/>
          <w:szCs w:val="21"/>
          <w:lang w:val="zh-CN" w:bidi="zh-CN"/>
        </w:rPr>
      </w:pPr>
      <w:r>
        <w:rPr>
          <w:rFonts w:hint="eastAsia" w:ascii="宋体" w:hAnsi="宋体" w:eastAsia="宋体" w:cs="宋体"/>
          <w:sz w:val="21"/>
          <w:szCs w:val="21"/>
        </w:rPr>
        <w:t>(4)中国的成就：我国碳排放强度呈现逐年</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的趋势。</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1" w:firstLineChars="100"/>
        <w:textAlignment w:val="auto"/>
        <w:rPr>
          <w:rFonts w:hint="eastAsia" w:ascii="宋体" w:hAnsi="宋体" w:eastAsia="宋体" w:cs="宋体"/>
        </w:rPr>
      </w:pPr>
      <w:r>
        <w:rPr>
          <w:rFonts w:hint="eastAsia" w:ascii="宋体" w:hAnsi="宋体" w:eastAsia="宋体" w:cs="宋体"/>
          <w:b/>
          <w:bCs/>
        </w:rPr>
        <w:t>探究点</w:t>
      </w:r>
      <w:r>
        <w:rPr>
          <w:rFonts w:hint="eastAsia" w:hAnsi="宋体" w:eastAsia="宋体" w:cs="宋体"/>
          <w:b/>
          <w:bCs/>
          <w:lang w:val="en-US" w:eastAsia="zh-CN"/>
        </w:rPr>
        <w:t>1</w:t>
      </w:r>
      <w:r>
        <w:rPr>
          <w:rFonts w:hint="eastAsia" w:ascii="宋体" w:hAnsi="宋体" w:eastAsia="宋体" w:cs="宋体"/>
          <w:b/>
          <w:bCs/>
        </w:rPr>
        <w:t>　碳排放与环境安全</w:t>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MERGEFORMATINET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textAlignment w:val="auto"/>
        <w:rPr>
          <w:rFonts w:hint="eastAsia" w:ascii="宋体" w:hAnsi="宋体" w:eastAsia="宋体" w:cs="宋体"/>
        </w:rPr>
      </w:pPr>
      <w:r>
        <w:rPr>
          <w:rFonts w:hint="eastAsia" w:ascii="宋体" w:hAnsi="宋体" w:eastAsia="宋体" w:cs="宋体"/>
        </w:rPr>
        <w:t>随着极端天气和气候事件的增多，人们对气候变化的趋势和影响也越来越关心。据专家分析和预测：近50年我国西部降水增多，东部频繁出现南涝北旱；极端气候事件发生的频次和强度变化将更明显；农作物受旱面积和粮食产量波动将加大。图甲为我国1980～2010年的气温变化图，图乙为地球上碳循环示意图。</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635</wp:posOffset>
            </wp:positionH>
            <wp:positionV relativeFrom="paragraph">
              <wp:posOffset>19050</wp:posOffset>
            </wp:positionV>
            <wp:extent cx="2471420" cy="2831465"/>
            <wp:effectExtent l="0" t="0" r="5080" b="0"/>
            <wp:wrapTight wrapText="bothSides">
              <wp:wrapPolygon>
                <wp:start x="0" y="0"/>
                <wp:lineTo x="0" y="21508"/>
                <wp:lineTo x="21478" y="21508"/>
                <wp:lineTo x="21478"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r:link="rId11"/>
                    <a:stretch>
                      <a:fillRect/>
                    </a:stretch>
                  </pic:blipFill>
                  <pic:spPr>
                    <a:xfrm>
                      <a:off x="0" y="0"/>
                      <a:ext cx="2471420" cy="2831465"/>
                    </a:xfrm>
                    <a:prstGeom prst="rect">
                      <a:avLst/>
                    </a:prstGeom>
                    <a:noFill/>
                    <a:ln>
                      <a:noFill/>
                    </a:ln>
                  </pic:spPr>
                </pic:pic>
              </a:graphicData>
            </a:graphic>
          </wp:anchor>
        </w:drawing>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选择性必修3（新教材）鲁苏云\\WORD\\S105.TIF"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选择性必修3（新教材）鲁苏云\\WORD\\S105.TIF"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选择性必修3（新教材）鲁苏云\\WORD\\S105.TIF"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云\\WORD\\S105.TIF"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2847340" cy="2609850"/>
            <wp:effectExtent l="0" t="0" r="1016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r:link="rId13"/>
                    <a:stretch>
                      <a:fillRect/>
                    </a:stretch>
                  </pic:blipFill>
                  <pic:spPr>
                    <a:xfrm>
                      <a:off x="0" y="0"/>
                      <a:ext cx="2847340" cy="260985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1．[综合思维]据图甲分析1980～2010年，气温变化呈现出什么规律？</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2．[综合思维]据图乙分析造成大气中CO</w:t>
      </w:r>
      <w:r>
        <w:rPr>
          <w:rFonts w:hint="eastAsia" w:ascii="宋体" w:hAnsi="宋体" w:eastAsia="宋体" w:cs="宋体"/>
          <w:vertAlign w:val="subscript"/>
        </w:rPr>
        <w:t>2</w:t>
      </w:r>
      <w:r>
        <w:rPr>
          <w:rFonts w:hint="eastAsia" w:ascii="宋体" w:hAnsi="宋体" w:eastAsia="宋体" w:cs="宋体"/>
        </w:rPr>
        <w:t xml:space="preserve">浓度增加的主要原因。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3．[区域认知]指出全球气候变暖对我国东部沿海地区可能带来的影响。</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numPr>
          <w:ilvl w:val="0"/>
          <w:numId w:val="2"/>
        </w:numPr>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[人地协调观]低碳经济是以低能耗、低污染、低排放为基础的经济模式，我国在实现低碳经济目标的过程中，可采取哪些措施？</w:t>
      </w: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lang w:val="zh-CN"/>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lang w:val="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textAlignment w:val="auto"/>
        <w:rPr>
          <w:rFonts w:hint="eastAsia" w:ascii="宋体" w:hAnsi="宋体" w:eastAsia="宋体" w:cs="宋体"/>
        </w:rPr>
      </w:pPr>
      <w:r>
        <w:rPr>
          <w:rFonts w:hint="eastAsia" w:ascii="宋体" w:hAnsi="宋体" w:eastAsia="宋体" w:cs="宋体"/>
        </w:rPr>
        <w:t>氧化亚氮(N</w:t>
      </w:r>
      <w:r>
        <w:rPr>
          <w:rFonts w:hint="eastAsia" w:ascii="宋体" w:hAnsi="宋体" w:eastAsia="宋体" w:cs="宋体"/>
          <w:vertAlign w:val="subscript"/>
        </w:rPr>
        <w:t>2</w:t>
      </w:r>
      <w:r>
        <w:rPr>
          <w:rFonts w:hint="eastAsia" w:ascii="宋体" w:hAnsi="宋体" w:eastAsia="宋体" w:cs="宋体"/>
        </w:rPr>
        <w:t>O)在百年尺度内的增温效应是等量二氧化碳的近300倍。农田是氧化亚氮的第一大排放源。完成1～2题。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1．氧化亚氮具有增温效应，主要是因为(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A．大气辐射总量增加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B．大气吸收作用增强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C．地面辐射总量增加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D．地面反射作用增强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2．农田排放的氧化亚氮，主要来源于(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A．作物生长时的排放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B．大气中氮气的转化</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sz w:val="21"/>
          <w:szCs w:val="21"/>
          <w:lang w:val="zh-CN" w:bidi="zh-CN"/>
        </w:rPr>
      </w:pPr>
      <w:r>
        <w:rPr>
          <w:rFonts w:hint="eastAsia" w:ascii="宋体" w:hAnsi="宋体" w:eastAsia="宋体" w:cs="宋体"/>
        </w:rPr>
        <w:t xml:space="preserve">C．秸秆燃烧时的产生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D．生产中氮肥的施用</w:t>
      </w:r>
    </w:p>
    <w:p>
      <w:pPr>
        <w:keepNext w:val="0"/>
        <w:keepLines w:val="0"/>
        <w:pageBreakBefore w:val="0"/>
        <w:widowControl w:val="0"/>
        <w:tabs>
          <w:tab w:val="left" w:pos="750"/>
        </w:tabs>
        <w:kinsoku/>
        <w:wordWrap/>
        <w:overflowPunct/>
        <w:topLinePunct w:val="0"/>
        <w:autoSpaceDE/>
        <w:autoSpaceDN/>
        <w:bidi w:val="0"/>
        <w:adjustRightInd/>
        <w:spacing w:line="240" w:lineRule="auto"/>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【课堂检测】</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809625</wp:posOffset>
            </wp:positionH>
            <wp:positionV relativeFrom="paragraph">
              <wp:posOffset>173990</wp:posOffset>
            </wp:positionV>
            <wp:extent cx="3829050" cy="1657350"/>
            <wp:effectExtent l="0" t="0" r="0" b="0"/>
            <wp:wrapTight wrapText="bothSides">
              <wp:wrapPolygon>
                <wp:start x="0" y="0"/>
                <wp:lineTo x="0" y="21352"/>
                <wp:lineTo x="21493" y="21352"/>
                <wp:lineTo x="21493"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4" r:link="rId15"/>
                    <a:stretch>
                      <a:fillRect/>
                    </a:stretch>
                  </pic:blipFill>
                  <pic:spPr>
                    <a:xfrm>
                      <a:off x="0" y="0"/>
                      <a:ext cx="3829050" cy="1657350"/>
                    </a:xfrm>
                    <a:prstGeom prst="rect">
                      <a:avLst/>
                    </a:prstGeom>
                    <a:noFill/>
                    <a:ln>
                      <a:noFill/>
                    </a:ln>
                  </pic:spPr>
                </pic:pic>
              </a:graphicData>
            </a:graphic>
          </wp:anchor>
        </w:drawing>
      </w:r>
      <w:r>
        <w:rPr>
          <w:rFonts w:hint="eastAsia" w:ascii="宋体" w:hAnsi="宋体" w:eastAsia="宋体" w:cs="宋体"/>
        </w:rPr>
        <w:t>下图示意我国某区域1960～1990年冬小麦和冬油菜适宜种植区的北界的变化。读图回答</w:t>
      </w:r>
      <w:r>
        <w:rPr>
          <w:rFonts w:hint="eastAsia" w:hAnsi="宋体" w:eastAsia="宋体" w:cs="宋体"/>
          <w:lang w:val="en-US" w:eastAsia="zh-CN"/>
        </w:rPr>
        <w:t>1</w:t>
      </w:r>
      <w:r>
        <w:rPr>
          <w:rFonts w:hint="eastAsia" w:ascii="宋体" w:hAnsi="宋体" w:eastAsia="宋体" w:cs="宋体"/>
        </w:rPr>
        <w:t>～</w:t>
      </w:r>
      <w:r>
        <w:rPr>
          <w:rFonts w:hint="eastAsia" w:hAnsi="宋体" w:eastAsia="宋体" w:cs="宋体"/>
          <w:lang w:val="en-US" w:eastAsia="zh-CN"/>
        </w:rPr>
        <w:t>2</w:t>
      </w:r>
      <w:r>
        <w:rPr>
          <w:rFonts w:hint="eastAsia" w:ascii="宋体" w:hAnsi="宋体" w:eastAsia="宋体" w:cs="宋体"/>
        </w:rPr>
        <w:t>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w:t>
      </w:r>
      <w:r>
        <w:rPr>
          <w:rFonts w:hint="eastAsia" w:ascii="宋体" w:hAnsi="宋体" w:eastAsia="宋体" w:cs="宋体"/>
        </w:rPr>
        <w:t>．冬小麦、冬油菜适宜种植区北界推移的最可能的原因是(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A．全球气候变暖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B．种植习惯变化</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C．机械化程度提高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D．化肥、农药使用量增加</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．据图推测该区域农业生产可能发生的变化是(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A．棉花、玉米的种植面积缩小</w:t>
      </w:r>
      <w:r>
        <w:rPr>
          <w:rFonts w:hint="eastAsia" w:hAnsi="宋体" w:eastAsia="宋体" w:cs="宋体"/>
          <w:lang w:val="en-US" w:eastAsia="zh-CN"/>
        </w:rPr>
        <w:t xml:space="preserve">             </w:t>
      </w:r>
      <w:r>
        <w:rPr>
          <w:rFonts w:hint="eastAsia" w:ascii="宋体" w:hAnsi="宋体" w:eastAsia="宋体" w:cs="宋体"/>
        </w:rPr>
        <w:t>B．春小麦的种植面积扩大</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sz w:val="21"/>
          <w:szCs w:val="21"/>
          <w:lang w:val="zh-CN" w:bidi="zh-CN"/>
        </w:rPr>
      </w:pPr>
      <w:r>
        <w:rPr>
          <w:rFonts w:hint="eastAsia" w:ascii="宋体" w:hAnsi="宋体" w:eastAsia="宋体" w:cs="宋体"/>
        </w:rPr>
        <w:t>C．复种指数有所增加</w:t>
      </w:r>
      <w:r>
        <w:rPr>
          <w:rFonts w:hint="eastAsia" w:hAnsi="宋体" w:eastAsia="宋体" w:cs="宋体"/>
          <w:lang w:val="en-US" w:eastAsia="zh-CN"/>
        </w:rPr>
        <w:t xml:space="preserve">                     </w:t>
      </w:r>
      <w:r>
        <w:rPr>
          <w:rFonts w:hint="eastAsia" w:ascii="宋体" w:hAnsi="宋体" w:eastAsia="宋体" w:cs="宋体"/>
        </w:rPr>
        <w:t>D．作物适宜种植高度有所下降</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190500</wp:posOffset>
                </wp:positionV>
                <wp:extent cx="5467350" cy="713740"/>
                <wp:effectExtent l="4445" t="4445" r="14605" b="5715"/>
                <wp:wrapNone/>
                <wp:docPr id="33" name="文本框 33"/>
                <wp:cNvGraphicFramePr/>
                <a:graphic xmlns:a="http://schemas.openxmlformats.org/drawingml/2006/main">
                  <a:graphicData uri="http://schemas.microsoft.com/office/word/2010/wordprocessingShape">
                    <wps:wsp>
                      <wps:cNvSpPr txBox="1"/>
                      <wps:spPr>
                        <a:xfrm>
                          <a:off x="0" y="0"/>
                          <a:ext cx="5467350" cy="713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15pt;height:56.2pt;width:430.5pt;z-index:251660288;mso-width-relative:page;mso-height-relative:page;" fillcolor="#FFFFFF [3201]" filled="t" stroked="t" coordsize="21600,21600" o:gfxdata="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TpV9fVAAAA&#10;CAEAAA8AAAAAAAAAAQAgAAAAIgAAAGRycy9kb3ducmV2LnhtbFBLAQIUABQAAAAIAIdO4kCLs84D&#10;WQIAALkEAAAOAAAAAAAAAAEAIAAAACQBAABkcnMvZTJvRG9jLnhtbFBLBQYAAAAABgAGAFkBAADv&#10;BQAAAAA=&#10;">
                <v:fill on="t" focussize="0,0"/>
                <v:stroke weight="0.5pt" color="#000000 [3204]" joinstyle="round"/>
                <v:imagedata o:title=""/>
                <o:lock v:ext="edit" aspectratio="f"/>
                <v:textbox>
                  <w:txbxContent>
                    <w:p/>
                  </w:txbxContent>
                </v:textbox>
              </v:shape>
            </w:pict>
          </mc:Fallback>
        </mc:AlternateContent>
      </w:r>
      <w:r>
        <w:rPr>
          <w:rFonts w:hint="eastAsia" w:ascii="宋体" w:hAnsi="宋体" w:eastAsia="宋体" w:cs="宋体"/>
          <w:b/>
          <w:bCs/>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val="0"/>
        <w:autoSpaceDN w:val="0"/>
        <w:bidi w:val="0"/>
        <w:adjustRightInd/>
        <w:jc w:val="both"/>
        <w:textAlignment w:val="auto"/>
        <w:rPr>
          <w:rFonts w:hint="eastAsia" w:ascii="宋体" w:hAnsi="宋体"/>
          <w:b/>
          <w:color w:val="FF0000"/>
          <w:szCs w:val="21"/>
        </w:rPr>
      </w:pPr>
    </w:p>
    <w:p>
      <w:pPr>
        <w:keepNext w:val="0"/>
        <w:keepLines w:val="0"/>
        <w:pageBreakBefore w:val="0"/>
        <w:kinsoku/>
        <w:wordWrap/>
        <w:overflowPunct/>
        <w:topLinePunct w:val="0"/>
        <w:autoSpaceDE w:val="0"/>
        <w:autoSpaceDN w:val="0"/>
        <w:bidi w:val="0"/>
        <w:adjustRightInd/>
        <w:jc w:val="center"/>
        <w:textAlignment w:val="auto"/>
        <w:rPr>
          <w:rFonts w:hint="eastAsia" w:ascii="黑体" w:hAnsi="宋体" w:eastAsia="黑体"/>
          <w:b/>
          <w:sz w:val="28"/>
          <w:szCs w:val="28"/>
          <w:lang w:val="zh-CN" w:eastAsia="zh-CN"/>
        </w:rPr>
      </w:pPr>
      <w:r>
        <w:rPr>
          <w:rFonts w:hint="eastAsia" w:ascii="宋体" w:hAnsi="宋体"/>
          <w:b/>
          <w:color w:val="FF0000"/>
          <w:szCs w:val="21"/>
          <w:lang w:eastAsia="zh-CN"/>
        </w:rPr>
        <w:t>、、</w:t>
      </w:r>
      <w:bookmarkStart w:id="0" w:name="_GoBack"/>
      <w:bookmarkEnd w:id="0"/>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7FB29"/>
    <w:multiLevelType w:val="singleLevel"/>
    <w:tmpl w:val="CB17FB29"/>
    <w:lvl w:ilvl="0" w:tentative="0">
      <w:start w:val="4"/>
      <w:numFmt w:val="decimal"/>
      <w:suff w:val="nothing"/>
      <w:lvlText w:val="%1．"/>
      <w:lvlJc w:val="left"/>
    </w:lvl>
  </w:abstractNum>
  <w:abstractNum w:abstractNumId="1">
    <w:nsid w:val="077F6818"/>
    <w:multiLevelType w:val="singleLevel"/>
    <w:tmpl w:val="077F681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00000000"/>
    <w:rsid w:val="01B963B2"/>
    <w:rsid w:val="08853FFD"/>
    <w:rsid w:val="08932218"/>
    <w:rsid w:val="0C8C0597"/>
    <w:rsid w:val="133C0BDD"/>
    <w:rsid w:val="14F31542"/>
    <w:rsid w:val="1BFC6A44"/>
    <w:rsid w:val="1EC96870"/>
    <w:rsid w:val="1EE70F67"/>
    <w:rsid w:val="20B174CF"/>
    <w:rsid w:val="20DC5095"/>
    <w:rsid w:val="249470D5"/>
    <w:rsid w:val="32BA1F29"/>
    <w:rsid w:val="32E27A95"/>
    <w:rsid w:val="34C71F92"/>
    <w:rsid w:val="36617D4E"/>
    <w:rsid w:val="38EB0F3E"/>
    <w:rsid w:val="3E635B5F"/>
    <w:rsid w:val="405745EF"/>
    <w:rsid w:val="405E53DC"/>
    <w:rsid w:val="44C26747"/>
    <w:rsid w:val="4C716A38"/>
    <w:rsid w:val="52193EB6"/>
    <w:rsid w:val="52FB3200"/>
    <w:rsid w:val="53E60CF1"/>
    <w:rsid w:val="540137E6"/>
    <w:rsid w:val="55817416"/>
    <w:rsid w:val="57767B14"/>
    <w:rsid w:val="59E6664E"/>
    <w:rsid w:val="60E34E2E"/>
    <w:rsid w:val="62052DB0"/>
    <w:rsid w:val="639210F8"/>
    <w:rsid w:val="67876CB8"/>
    <w:rsid w:val="73016438"/>
    <w:rsid w:val="73A11102"/>
    <w:rsid w:val="78143B0B"/>
    <w:rsid w:val="78FB0DC0"/>
    <w:rsid w:val="791A0265"/>
    <w:rsid w:val="7CC62CA9"/>
    <w:rsid w:val="7D1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2.png"/><Relationship Id="rId7" Type="http://schemas.openxmlformats.org/officeDocument/2006/relationships/image" Target="&#24038;&#25324;.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S113.TIF" TargetMode="External"/><Relationship Id="rId14" Type="http://schemas.openxmlformats.org/officeDocument/2006/relationships/image" Target="media/image5.png"/><Relationship Id="rId13" Type="http://schemas.openxmlformats.org/officeDocument/2006/relationships/image" Target="S105.TIF" TargetMode="External"/><Relationship Id="rId12" Type="http://schemas.openxmlformats.org/officeDocument/2006/relationships/image" Target="media/image4.png"/><Relationship Id="rId11" Type="http://schemas.openxmlformats.org/officeDocument/2006/relationships/image" Target="S104.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4142</Words>
  <Characters>4344</Characters>
  <Lines>0</Lines>
  <Paragraphs>0</Paragraphs>
  <TotalTime>2</TotalTime>
  <ScaleCrop>false</ScaleCrop>
  <LinksUpToDate>false</LinksUpToDate>
  <CharactersWithSpaces>5242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珊珊</cp:lastModifiedBy>
  <dcterms:modified xsi:type="dcterms:W3CDTF">2022-05-07T08:48:08Z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FED50A6072D84148B5561AEA5962AEE2</vt:lpwstr>
  </property>
</Properties>
</file>