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.2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产业转移对区域发展的影响——以亚太地区为例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：徐余慧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：刘永飞 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30分钟</w:t>
      </w:r>
    </w:p>
    <w:p>
      <w:pPr>
        <w:autoSpaceDE w:val="0"/>
        <w:autoSpaceDN w:val="0"/>
        <w:jc w:val="left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</w:rPr>
        <w:fldChar w:fldCharType="begin"/>
      </w:r>
      <w:r>
        <w:rPr>
          <w:rFonts w:hint="eastAsia" w:ascii="楷体" w:hAnsi="楷体" w:eastAsia="楷体" w:cs="楷体"/>
          <w:bCs/>
          <w:sz w:val="24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楷体" w:hAnsi="楷体" w:eastAsia="楷体" w:cs="楷体"/>
          <w:bCs/>
          <w:sz w:val="24"/>
        </w:rPr>
        <w:fldChar w:fldCharType="separate"/>
      </w:r>
      <w:r>
        <w:rPr>
          <w:rFonts w:hint="eastAsia" w:ascii="楷体" w:hAnsi="楷体" w:eastAsia="楷体" w:cs="楷体"/>
          <w:bCs/>
          <w:sz w:val="24"/>
          <w:lang w:eastAsia="zh-CN"/>
        </w:rPr>
        <w:t>【</w:t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</w:rPr>
        <w:fldChar w:fldCharType="end"/>
      </w:r>
      <w:r>
        <w:rPr>
          <w:rFonts w:hint="eastAsia" w:ascii="楷体" w:hAnsi="楷体" w:eastAsia="楷体" w:cs="楷体"/>
          <w:bCs/>
          <w:sz w:val="24"/>
          <w:lang w:eastAsia="zh-CN"/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(2021·湖北武汉期末)</w:t>
      </w:r>
      <w:r>
        <w:rPr>
          <w:rFonts w:ascii="Times New Roman" w:hAnsi="Times New Roman" w:eastAsia="楷体_GB2312" w:cs="Times New Roman"/>
        </w:rPr>
        <w:t>2020年7月17日，87家日企获日本700亿日元补贴，正式将生产线从中国转出。其中30家企业将把生产线转移到东南亚，其他57家企业将搬往日本。迁往东南亚的企业，其产品涵盖航空零部件、汽车零部件、化肥、医药和纸制品生产商，其中包括夏普、Shionogi、Terumo和Kancka等知名企业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1．推测影响87家日企正式将生产线从中国转出的主要因素是(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A．市场  B．技术  C．政策  D．劳动力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2．部分日企搬离中国，其短期内对中国的影响是(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A．国家税收锐减  B．抗风险能力减弱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C．环境质量下降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D．失业人口增加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(2021·山东济宁期末)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20世纪80年代初，广东省佛山市引进国外现代化陶瓷生产线，发展成为全国乃至世界最大的陶瓷生产基地。2003年，佛山陶瓷主产区被划入中心城区范围，陶瓷产业逐步向外转移，江西省高安市抓住契机，引入了佛山的建陶(建筑陶瓷)产业链。建陶产业耗能大，污染大。经过十余年的发展，高安市已发展成为我国第二大建陶产业基地。下图示意高安市建陶产业发展进程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据此完成3～5题。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选择性必修2(新教材)\\sw173.TIF"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801620" cy="728345"/>
            <wp:effectExtent l="0" t="0" r="5080" b="571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3．促使佛山陶瓷产业向外转移的主要原因是佛山(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A．市场需求减小  B．产业结构调整升级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C．原材料枯竭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D．企业竞争加剧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4．高安市承接佛山陶瓷产业转移，对当地产生的影响有(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A．促进高新技术产业发展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B．加快能源消费结构调整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C．促进国内建陶产业分工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D．加剧能源消耗和环境污染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5．高安市建陶产业一直致力于(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A．品牌建设  B．增加销量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C．扩大规模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D．清洁生产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衰退性产业转移主要是指在本地不再具有比较优势的产业向外转移。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广东省产业转移效应理论模型图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，回答6～7题。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选择性必修2(新教材)\\SW174.TIF"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选择性必修2(新教材)\\SW174.TIF"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选择性必修2(新教材)\\WORD\\SW174.TIF"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选择性必修2(新教材)(莫程程)\\全书完整的Word版文档\\SW174.TIF"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785745" cy="1461770"/>
            <wp:effectExtent l="0" t="0" r="10160" b="635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6．下列产业中，最有可能属于珠江三角洲地区衰退性产业转移的是(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A．汽车零配件生产  B．节能环保业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C．服装鞋帽生产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D．高端装备制造业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7．衰退性产业转移对广东省东西两翼和山区产生的正效应是(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A．土地利用多样化，耕地面积扩大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B．增加就业机会，吸纳农村剩余劳动力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C．促进经济发展，提高高新技术产业比重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D．有可能带来环境污染等问题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湄公河五国是中国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一带一路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倡议沿线的关键节点国家，已被定位为中国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一轴两翼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国际产能合作布局中的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主轴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重点合作国家，而中国对外产业转移是国际产能合作的重要方式。下表为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湄公河五国2009～2016年对接中国产业转移能力评价结果(数值越大，承接能力越强)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据此回答8～9题。</w:t>
      </w:r>
    </w:p>
    <w:tbl>
      <w:tblPr>
        <w:tblStyle w:val="6"/>
        <w:tblW w:w="6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026"/>
        <w:gridCol w:w="869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国家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年份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柬埔寨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老挝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缅甸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泰国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2009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0.447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0.404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0.351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0.649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2012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0.460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0.459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0.361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0.706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2014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0.483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0.498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0.408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0.712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2016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0.446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0.455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0.363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0.663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0.598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8.2009～2016年，湄公河五国对接中国产业转移能力最强的国家是(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A．泰国  B．越南  C．老挝  D．缅甸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9．泰国和越南对接中国产业转移能力较强的原因是(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对外开放程度较高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经济发展水平较高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基础设施较为完善　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④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空间上与中国相邻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①②③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B．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①②④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C．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①③④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D．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②③④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雁行形态说揭示了区域产业结构高级化的过程。产业发展的雁行形态具体表现为：第一只雁是国外产品大量进口引起的进口浪潮，第二只雁是进口刺激国内市场所引发的国内生产浪潮，第三只雁是国内生产发展所促进的出口浪潮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产业结构的雁行形态示意图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，回答10～11题。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选择性必修2(新教材)\\SW175.TIF"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选择性必修2(新教材)\\SW175.TIF"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选择性必修2(新教材)\\WORD\\SW175.TIF"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选择性必修2(新教材)(莫程程)\\全书完整的Word版文档\\SW175.TIF"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732915" cy="1042035"/>
            <wp:effectExtent l="0" t="0" r="5080" b="508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10．我国东南沿海地区的产业结构优化过程也呈现了雁行形态。该地区的部分产品在国际市场上具有竞争优势，出口量不断增加，主要原因可能是(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A．生产规模大B．劳动力成本低C．技术、管理水平高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D．位于沿海地区，地理位置优越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11．下列最容易实现雁行形态发展序列的工业部门是(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A．大飞机制造工业  B．汽车工业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C．纺织工业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D．微电子工业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(2020·山东地理)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改革开放以来，我国汽车产业政策不断调整，汽车产业得到了快速发展。上汽集团成立于1984年，是国内最早的汽车集团之一。1994～2016年，上汽集团的扩张经历了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本地多样化—初步的市外扩张—以市外扩张为主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三个阶段。其中，第一阶段在上海市建成了完备的汽车生产及配套体系，第二、三阶段向江苏等地扩张(下图)。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据此完成12～13题。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选择性必修2(新教材)\\sw176.TIF"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选择性必修2(新教材)\\sw176.TIF"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选择性必修2(新教材)\\WORD\\sw176.TIF"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选择性必修2(新教材)(莫程程)\\全书完整的Word版文档\\sw176.TIF"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881630" cy="1323975"/>
            <wp:effectExtent l="0" t="0" r="635" b="381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选择性必修2(新教材)\\SW177.TIF"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选择性必修2(新教材)\\SW177.TIF"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选择性必修2(新教材)\\WORD\\SW177.TIF"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选择性必修2(新教材)(莫程程)\\全书完整的Word版文档\\SW177.TIF"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881630" cy="1451610"/>
            <wp:effectExtent l="0" t="0" r="635" b="571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12．上汽集团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本地多样化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扩张的主要目的是(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A．提高研发水平  B．满足生产需要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C．带动当地就业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D．提高生产效率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13．依据上汽集团的扩张历程判断，图中K、N、P、V分别代表(　　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A．研发、总部、制造、销售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B．销售、总部、制造、研发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C．总部、研发、销售、制造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D．研发、总部、销售、制造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14．阅读图文材料，回答下列问题。(24分)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产业梯度是指一个区域内不同地区产业之间存在一定梯度。产业梯度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1表明该产业为本区域具备明显优势的产业，竞争力强；产业梯度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0.5表明该产业为本区域不具备竞争优势的产业，需转移或淘汰。下图为某年北京和河北部分工业的产业梯度优势比较图。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选择性必修2(新教材)\\SW178.TIF"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31440" cy="1860550"/>
            <wp:effectExtent l="0" t="0" r="2540" b="698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(1)据图简要说明北京具有梯度优势的工业及主要原因。(6分)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(2)据图说明北京要转出的产业及其产业特征。(6分)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(3)分析北京的纺织业、石油和天然气开采业、化学原料及化学制品制造业转移到河北，可能给河北带来的影响。(6分)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研发中心＋生产基地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经营模式已成为京冀合作发展的总体思路，说明京冀这种合作模式各自的区位优势。(6分)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15．阅读图文材料，完成下列问题。(24分)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材料一　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从20世纪70年代半导体产业在美国形成规模以来，半导体产业总共经历了两次大规模的产业转移：第一次是从20世纪80年代开始，由美国本土向日本转移，成就了东芝、松下、日立等知名品牌；第二次是20世纪90年代末期到2000年，随着半导体产业不断地发展与升级，美国逐步把IC(集成电路，也称芯片)的设计与制造进行分离，并将制造业转移。由美国、日本向韩国以及我国台湾转移，造就了三星、海力士、台积电、日月光等大型厂商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材料二　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半导体产业每一次转移的过程都带动了当地科技与经济飞速的发展。我国正在承接第三次转移，我国在过去的二十多年中，凭借低廉的劳动力成本，获取了部分国外半导体分装、制造等业务。随着全球电子化进程的开展，我国半导体产业厚积薄发，半导体产业下游发展兴旺。目前我国已成为全球第一大消费电子生产国和消费国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材料三　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下图为半导体产业链示意图。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"H:\\莫成程\\2021\\同步\\地理\\地理 鲁教版 选择性必修2(新教材)\\sw179.TIF"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选择性必修2(新教材)\\sw179.TIF"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"H:\\莫成程\\2021\\同步\\地理\\地理 鲁教版 选择性必修2(新教材)\\WORD\\sw179.TIF"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"D:\\张梦梦\\2021\\同步\\看ppt\\地理\\地理 鲁教版 选择性必修2(新教材)(莫程程)\\全书完整的Word版文档\\sw179.TIF"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881630" cy="1409065"/>
            <wp:effectExtent l="0" t="0" r="635" b="508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(1)简析美国半导体产业进行第一次产业转移的原因。(6分)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(2)第二次转移，美国开始主动将生产线外迁，采用委外代工的模式。判断此阶段美国半导体产业的生产特点。(6分)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(3)第三次半导体产业转移为规模转移。简述我国承接半导体第三次转移的优势条件。(6分)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(4)简述半导体产业转移给我国带来的有利影响。(6分)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42A3"/>
    <w:rsid w:val="0F4166E3"/>
    <w:rsid w:val="16C9496E"/>
    <w:rsid w:val="180416A0"/>
    <w:rsid w:val="1F466EDF"/>
    <w:rsid w:val="206A2054"/>
    <w:rsid w:val="29A924E3"/>
    <w:rsid w:val="2B5E15FE"/>
    <w:rsid w:val="345E37FA"/>
    <w:rsid w:val="36322EE3"/>
    <w:rsid w:val="3C6068F0"/>
    <w:rsid w:val="3C9F7711"/>
    <w:rsid w:val="406C26A0"/>
    <w:rsid w:val="41271BDD"/>
    <w:rsid w:val="426F13CB"/>
    <w:rsid w:val="48834C9A"/>
    <w:rsid w:val="498D2E30"/>
    <w:rsid w:val="4D571BAF"/>
    <w:rsid w:val="5BC127EA"/>
    <w:rsid w:val="5BD75FA2"/>
    <w:rsid w:val="5CA50038"/>
    <w:rsid w:val="6884045B"/>
    <w:rsid w:val="6CAF143D"/>
    <w:rsid w:val="6F704388"/>
    <w:rsid w:val="79A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174.TIF" TargetMode="External"/><Relationship Id="rId8" Type="http://schemas.openxmlformats.org/officeDocument/2006/relationships/image" Target="media/image2.png"/><Relationship Id="rId7" Type="http://schemas.openxmlformats.org/officeDocument/2006/relationships/image" Target="sw173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sw179.TIF" TargetMode="External"/><Relationship Id="rId18" Type="http://schemas.openxmlformats.org/officeDocument/2006/relationships/image" Target="media/image7.png"/><Relationship Id="rId17" Type="http://schemas.openxmlformats.org/officeDocument/2006/relationships/image" Target="SW178.TIF" TargetMode="External"/><Relationship Id="rId16" Type="http://schemas.openxmlformats.org/officeDocument/2006/relationships/image" Target="media/image6.png"/><Relationship Id="rId15" Type="http://schemas.openxmlformats.org/officeDocument/2006/relationships/image" Target="SW177.TIF" TargetMode="External"/><Relationship Id="rId14" Type="http://schemas.openxmlformats.org/officeDocument/2006/relationships/image" Target="media/image5.png"/><Relationship Id="rId13" Type="http://schemas.openxmlformats.org/officeDocument/2006/relationships/image" Target="sw176.TIF" TargetMode="External"/><Relationship Id="rId12" Type="http://schemas.openxmlformats.org/officeDocument/2006/relationships/image" Target="media/image4.png"/><Relationship Id="rId11" Type="http://schemas.openxmlformats.org/officeDocument/2006/relationships/image" Target="SW175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2022-03-18T02:04:43Z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4CD75F8DF6314EE7BAA1E01AFF36D882</vt:lpwstr>
  </property>
</Properties>
</file>