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hint="default" w:ascii="Times New Roman" w:hAnsi="Times New Roman" w:eastAsia="宋体" w:cs="黑体"/>
          <w:b/>
          <w:bCs/>
          <w:sz w:val="28"/>
          <w:szCs w:val="28"/>
          <w:lang w:val="en-US" w:eastAsia="zh-CN"/>
        </w:rPr>
      </w:pPr>
      <w:bookmarkStart w:id="0" w:name="_Toc11248"/>
      <w:r>
        <w:rPr>
          <w:rFonts w:ascii="Times New Roman" w:hAnsi="Times New Roman" w:eastAsia="宋体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  <w:t>向心加速度</w:t>
      </w:r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补充作业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关于向心加速度，下列说法正确的是(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向心加速度是描述速率变化快慢的物理量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匀速圆周运动的向心加速度恒定不变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向心加速度是描述物体运动方向变化快慢的物理量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向心加速度随着半径的增大而减小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下列关于向心加速度的说法中，正确的是(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向心加速度的方向始终与线速度的方向垂直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向心加速度的方向保持不变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在匀速圆周运动中，向心加速度是恒定的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在匀速圆周运动中，线速度不变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200660</wp:posOffset>
            </wp:positionV>
            <wp:extent cx="974725" cy="819150"/>
            <wp:effectExtent l="0" t="0" r="15875" b="0"/>
            <wp:wrapSquare wrapText="bothSides"/>
            <wp:docPr id="70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4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3.如图所示是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两物体做匀速圆周运动的向心加速度随半径变化的图像，其中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为双曲线的一支，由图可知(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物体运动的线速度大小不变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物体运动的角速度不变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物体运动的角速度是变化的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物体运动的线速度大小不变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甲、乙两个物体都做匀速圆周运动，转动半径之比为9∶4，转动周期之比为3∶4，则它们的向心加速度大小之比为(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1∶4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4∶1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4∶9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9∶4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4580255</wp:posOffset>
            </wp:positionH>
            <wp:positionV relativeFrom="paragraph">
              <wp:posOffset>238125</wp:posOffset>
            </wp:positionV>
            <wp:extent cx="1076325" cy="752475"/>
            <wp:effectExtent l="0" t="0" r="9525" b="9525"/>
            <wp:wrapSquare wrapText="bothSides"/>
            <wp:docPr id="71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4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如图所示，拖拉机后轮的半径是前轮半径的两倍，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是前轮和后轮边缘上的点，若车行进时车轮没有打滑，则(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点的线速度大小之比为1∶2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点的线速度大小之比为1∶1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前轮和后轮的角速度之比为1∶1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点的向心加速度大小之比为1∶2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375920</wp:posOffset>
            </wp:positionV>
            <wp:extent cx="1590675" cy="790575"/>
            <wp:effectExtent l="0" t="0" r="9525" b="9525"/>
            <wp:wrapSquare wrapText="bothSides"/>
            <wp:docPr id="72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4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如图所示，自行车的小齿轮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、大齿轮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、后轮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是相互关联的三个转动部分，且半径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＝4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＝8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，当自行车悬空，大齿轮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带动后轮匀速转动时，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三轮边缘的向心加速度的大小之比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等于(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1∶1∶8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4∶1∶4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4∶1∶32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1∶2∶4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209550</wp:posOffset>
            </wp:positionV>
            <wp:extent cx="1066800" cy="862330"/>
            <wp:effectExtent l="0" t="0" r="0" b="13970"/>
            <wp:wrapSquare wrapText="bothSides"/>
            <wp:docPr id="73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14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如图所示，质量相等的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两物体紧贴在匀速转动的圆筒的竖直内壁上，随圆筒一起做匀速圆周运动，则下列关系正确的是(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线速度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角速度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它们受到的合外力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合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 xml:space="preserve">     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它们受到的摩擦力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8.一质量为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的物体，沿半径为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的半圆形轨道滑行，如图5所示，经过最低点时的速度为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，物体与轨道间的动摩擦因数为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，则它在最低点时受到的摩擦力大小为(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4827905</wp:posOffset>
            </wp:positionH>
            <wp:positionV relativeFrom="paragraph">
              <wp:posOffset>189230</wp:posOffset>
            </wp:positionV>
            <wp:extent cx="809625" cy="438150"/>
            <wp:effectExtent l="0" t="0" r="9525" b="0"/>
            <wp:wrapSquare wrapText="bothSides"/>
            <wp:docPr id="74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4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μmg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B.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μmv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,R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,R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)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,R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4611370</wp:posOffset>
            </wp:positionH>
            <wp:positionV relativeFrom="paragraph">
              <wp:posOffset>287020</wp:posOffset>
            </wp:positionV>
            <wp:extent cx="1079500" cy="605155"/>
            <wp:effectExtent l="0" t="0" r="6350" b="4445"/>
            <wp:wrapSquare wrapText="bothSides"/>
            <wp:docPr id="75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4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的飞机以恒定速率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在空中水平盘旋，如图所示，其做匀速圆周运动的半径为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，则此时空气对飞机的作用力大小为(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,R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Mg</w:t>
      </w:r>
      <w:r>
        <w:rPr>
          <w:rFonts w:hint="eastAsia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4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－\f(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4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10.如图所示，两个质量相同的小球用长度不等的不可伸长的细线拴在同一点，并在同一水平面内做同方向的匀速圆周运动，则它们的(　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向心力大小相同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运动周期不同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运动线速度大小相同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运动角速度相同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4794885</wp:posOffset>
            </wp:positionH>
            <wp:positionV relativeFrom="paragraph">
              <wp:posOffset>530860</wp:posOffset>
            </wp:positionV>
            <wp:extent cx="885825" cy="833120"/>
            <wp:effectExtent l="0" t="0" r="9525" b="5080"/>
            <wp:wrapSquare wrapText="bothSides"/>
            <wp:docPr id="78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49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11.如图所示，有一质量为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的小球在光滑的半球形碗内做匀速圆周运动，轨道平面在水平面内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已知小球与半球形碗的球心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的连线跟竖直方向的夹角为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，半球形碗的半径为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，求小球做匀速圆周运动的线速度大小及碗壁对小球的弹力大小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游乐场里的“飞天秋千”游戏开始前，座椅由钢丝绳竖直悬吊在半空，绳到转轴的距离为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.秋千匀速转动时，钢丝绳与竖直方向成某一角度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，其简化模型如图9所示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已知钢丝绳的长度为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，座椅质量为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，大小忽略不计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，不计空气阻力，求：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105410</wp:posOffset>
            </wp:positionV>
            <wp:extent cx="1146175" cy="819150"/>
            <wp:effectExtent l="0" t="0" r="15875" b="0"/>
            <wp:wrapSquare wrapText="bothSides"/>
            <wp:docPr id="77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48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(1)钢丝绳所受拉力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的大小；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(2)秋千匀速转动的角速度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(3)若要使钢丝绳与竖直方向的夹角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增大，可采取哪些方法？(答对一种即可)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13.如图所示，“旋转秋千”中的两个座椅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质量相等，通过相同长度的缆绳悬挂在旋转圆盘上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不考虑空气阻力的影响，当旋转圆盘绕竖直中心轴匀速转动时，下列说法正确的是(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4685030</wp:posOffset>
            </wp:positionH>
            <wp:positionV relativeFrom="paragraph">
              <wp:posOffset>113030</wp:posOffset>
            </wp:positionV>
            <wp:extent cx="1000125" cy="752475"/>
            <wp:effectExtent l="0" t="0" r="9525" b="9525"/>
            <wp:wrapSquare wrapText="bothSides"/>
            <wp:docPr id="76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47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的线速度比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的大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悬挂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的缆绳与竖直方向的夹角相等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悬挂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的缆绳所受的拉力比悬挂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的缆绳所受的拉力小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的向心加速度大小相等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38034632"/>
    <w:rsid w:val="3803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6-76.TIF" TargetMode="External"/><Relationship Id="rId8" Type="http://schemas.openxmlformats.org/officeDocument/2006/relationships/image" Target="media/image3.png"/><Relationship Id="rId7" Type="http://schemas.openxmlformats.org/officeDocument/2006/relationships/image" Target="6-75.TIF" TargetMode="External"/><Relationship Id="rId6" Type="http://schemas.openxmlformats.org/officeDocument/2006/relationships/image" Target="media/image2.png"/><Relationship Id="rId5" Type="http://schemas.openxmlformats.org/officeDocument/2006/relationships/image" Target="6-74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6-83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J5-148.TIF" TargetMode="External"/><Relationship Id="rId18" Type="http://schemas.openxmlformats.org/officeDocument/2006/relationships/image" Target="media/image8.png"/><Relationship Id="rId17" Type="http://schemas.openxmlformats.org/officeDocument/2006/relationships/image" Target="6-85.tif" TargetMode="External"/><Relationship Id="rId16" Type="http://schemas.openxmlformats.org/officeDocument/2006/relationships/image" Target="media/image7.png"/><Relationship Id="rId15" Type="http://schemas.openxmlformats.org/officeDocument/2006/relationships/image" Target="6-79.TIF" TargetMode="External"/><Relationship Id="rId14" Type="http://schemas.openxmlformats.org/officeDocument/2006/relationships/image" Target="media/image6.png"/><Relationship Id="rId13" Type="http://schemas.openxmlformats.org/officeDocument/2006/relationships/image" Target="6-78.TIF" TargetMode="External"/><Relationship Id="rId12" Type="http://schemas.openxmlformats.org/officeDocument/2006/relationships/image" Target="media/image5.png"/><Relationship Id="rId11" Type="http://schemas.openxmlformats.org/officeDocument/2006/relationships/image" Target="6-77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2024-02-26T07:42:00Z</dcterms:created>
  <dc:creator>萧秋</dc:creator>
  <cp:lastModifiedBy>萧秋</cp:lastModifiedBy>
  <dcterms:modified xsi:type="dcterms:W3CDTF">2024-02-26T07:45:31Z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B1E80CF3E84049F0B490BCF07A9EBB7F_11</vt:lpwstr>
  </property>
</Properties>
</file>