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12573000</wp:posOffset>
            </wp:positionH>
            <wp:positionV relativeFrom="topMargin">
              <wp:posOffset>12509500</wp:posOffset>
            </wp:positionV>
            <wp:extent cx="495300" cy="431800"/>
            <wp:effectExtent l="0" t="0" r="0" b="635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百分比、比例、比重类高考题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．1992年，墨西哥签订《北美自由贸易协定》以后，又制定了一系列负面清单，如规定外资占商业银行的投资比例不得高于普通股本的30%，外资不得经营内陆港口、海运及空港等。这些规定旨在</w:t>
      </w:r>
      <w:bookmarkStart w:id="0" w:name="_GoBack"/>
      <w:bookmarkEnd w:id="0"/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A．发展国家特色产业</w:t>
      </w:r>
      <w:r>
        <w:tab/>
      </w:r>
      <w:r>
        <w:t>B．改善对外贸易的机制和环境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C．保障国家经济安全</w:t>
      </w:r>
      <w:r>
        <w:tab/>
      </w:r>
      <w:r>
        <w:t>D．巩固区域经济集团化的成果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．1958年，美苏签订“文化、技术和教育领域的交流协议”。两国展开了一系列文化往来，赴美的苏联学者90%为科学家、工程师，而赴苏联的美国学者90%是人文社会科学领域的专家。这表明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A．美国旨在缓和与苏联的紧张关系</w:t>
      </w:r>
      <w:r>
        <w:tab/>
      </w:r>
      <w:r>
        <w:t>B．经济全球化的进程进一步加快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C．冷战格局下美苏交流与对抗并存</w:t>
      </w:r>
      <w:r>
        <w:tab/>
      </w:r>
      <w:r>
        <w:t>D．苏联旨在对美国输出先进科技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表2为1928年和1932年苏联在农业春播中使用不同播种方式的情况。这反映出苏联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  <w:gridCol w:w="215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　　　　方式</w:t>
            </w:r>
          </w:p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时间　　　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手播</w:t>
            </w:r>
            <w:r>
              <w:rPr>
                <w:rFonts w:hint="eastAsia" w:ascii="Times New Roman" w:hAnsi="Times New Roman" w:eastAsia="楷体_GB2312" w:cs="Times New Roman"/>
              </w:rPr>
              <w:t>(</w:t>
            </w:r>
            <w:r>
              <w:rPr>
                <w:rFonts w:ascii="Times New Roman" w:hAnsi="Times New Roman" w:eastAsia="楷体_GB2312" w:cs="Times New Roman"/>
              </w:rPr>
              <w:t>%)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马拉播种机(%)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拖拉机牵引播种机(%)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1928年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74.4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25.4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1932年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51.7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28.3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eastAsia="楷体_GB2312" w:cs="Times New Roman"/>
              </w:rPr>
              <w:t>20.0</w:t>
            </w:r>
          </w:p>
        </w:tc>
      </w:tr>
    </w:tbl>
    <w:p>
      <w:pPr>
        <w:pStyle w:val="3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表2</w:t>
      </w:r>
    </w:p>
    <w:p>
      <w:pPr>
        <w:pStyle w:val="3"/>
        <w:ind w:firstLine="420" w:firstLineChars="200"/>
        <w:rPr>
          <w:rFonts w:hAnsi="宋体" w:cs="宋体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新经济政策对农业影响有限    B．工农业比例严重失调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t>农业集体化基础相对薄弱    D．工业化发展阻力较大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．如图是不同类型国家的进出口依存度变化示意图。该图适合用来说明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5019675" cy="16002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A．发展中国家经济高速增长</w:t>
      </w:r>
      <w:r>
        <w:tab/>
      </w:r>
      <w:r>
        <w:t>B．世界经济区域化的发展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C．发达国家经济陷入了滞胀</w:t>
      </w:r>
      <w:r>
        <w:tab/>
      </w:r>
      <w:r>
        <w:t>D．世界贸易全球化的加强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．如表为1928年、1932年和1937年苏联拖拉机数量与农业集体化发展状况统计表。它反映出苏联社会主义建设的特点是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23"/>
        <w:gridCol w:w="2130"/>
        <w:gridCol w:w="4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拖拉机数量（万台）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参加农业集体组织农户占全国农户比例（%）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1928年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1932年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14.8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1937年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56.1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93.0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A．优先发展重工业</w:t>
      </w:r>
      <w:r>
        <w:tab/>
      </w:r>
      <w:r>
        <w:t>B．工业化和农业集体化同时并举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C．国民经济发展不平衡</w:t>
      </w:r>
      <w:r>
        <w:tab/>
      </w:r>
      <w:r>
        <w:t>D．农业集体化滞后制约工业化发展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118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进口货物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占总货物的价值比（%）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1664-1670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1731-1740年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胡椒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20.1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茶叶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0.02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咖啡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0.63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棉纺织品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62.59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65.35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该表是学者统计的17-18世纪英国东印度公司进口的部分亚洲货物价值占比。据表可知，该时期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A．生产方式决定进口货物价值占比</w:t>
      </w:r>
      <w:r>
        <w:tab/>
      </w:r>
      <w:r>
        <w:t>B．英国确立海上贸易的霸主地位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C．殖民扩张推动了消费结构的变化</w:t>
      </w:r>
      <w:r>
        <w:tab/>
      </w:r>
      <w:r>
        <w:t>D．工业革命促进东西方贸易增长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'Times New Roman'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OTM5NTUxNWNhNDA3N2FmODQ2ZjA3ZjExMGM2ZmQifQ=="/>
  </w:docVars>
  <w:rsids>
    <w:rsidRoot w:val="00163679"/>
    <w:rsid w:val="00043B54"/>
    <w:rsid w:val="000F1D75"/>
    <w:rsid w:val="00163679"/>
    <w:rsid w:val="003010FF"/>
    <w:rsid w:val="00341562"/>
    <w:rsid w:val="004151FC"/>
    <w:rsid w:val="00456C75"/>
    <w:rsid w:val="00C02FC6"/>
    <w:rsid w:val="00EA3AFF"/>
    <w:rsid w:val="00EB5FB1"/>
    <w:rsid w:val="00FA5EC7"/>
    <w:rsid w:val="09E3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qFormat/>
    <w:uiPriority w:val="0"/>
    <w:pPr>
      <w:spacing w:after="200" w:line="276" w:lineRule="auto"/>
    </w:pPr>
    <w:rPr>
      <w:rFonts w:ascii="宋体" w:hAnsi="Courier New" w:cs="Courier New"/>
      <w:szCs w:val="21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纯文本 字符"/>
    <w:basedOn w:val="8"/>
    <w:link w:val="3"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13">
    <w:name w:val="页眉 Char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脚 Char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5809</Words>
  <Characters>6408</Characters>
  <Lines>48</Lines>
  <Paragraphs>13</Paragraphs>
  <TotalTime>35</TotalTime>
  <ScaleCrop>false</ScaleCrop>
  <LinksUpToDate>false</LinksUpToDate>
  <CharactersWithSpaces>6491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2023-03-28T00:30:00Z</dcterms:created>
  <dc:creator>刘 丽娜</dc:creator>
  <cp:lastModifiedBy>家珍</cp:lastModifiedBy>
  <dcterms:modified xsi:type="dcterms:W3CDTF">2023-06-23T02:02:54Z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748B918DDC3040D988F9D6BBBBE7869A_12</vt:lpwstr>
  </property>
</Properties>
</file>