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6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第13课  从明朝建立到清军入关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一、选择题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）1</w:t>
      </w:r>
      <w:r>
        <w:rPr>
          <w:rFonts w:hAnsi="宋体" w:cs="宋体"/>
          <w:bCs/>
          <w:color w:val="000000" w:themeColor="text1"/>
        </w:rPr>
        <w:t>. 《明会典》卷二载：“自秦始置丞相，不旋踵而亡。汉、唐、宋因之，虽有贤相，然其间所用者多有小人专权乱政。”鉴于此，明太祖采取的措施是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Ansi="宋体" w:cs="宋体"/>
          <w:bCs/>
          <w:color w:val="000000" w:themeColor="text1"/>
        </w:rPr>
        <w:t>A. 实行三省六部制</w:t>
      </w:r>
      <w:r>
        <w:rPr>
          <w:rFonts w:hint="eastAsia" w:hAnsi="宋体" w:cs="宋体"/>
          <w:bCs/>
          <w:color w:val="000000" w:themeColor="text1"/>
        </w:rPr>
        <w:t xml:space="preserve">     </w:t>
      </w:r>
      <w:r>
        <w:rPr>
          <w:rFonts w:hAnsi="宋体" w:cs="宋体"/>
          <w:bCs/>
          <w:color w:val="000000" w:themeColor="text1"/>
        </w:rPr>
        <w:t>B. 设立南北面官</w:t>
      </w:r>
      <w:r>
        <w:rPr>
          <w:rFonts w:hint="eastAsia" w:hAnsi="宋体" w:cs="宋体"/>
          <w:bCs/>
          <w:color w:val="000000" w:themeColor="text1"/>
        </w:rPr>
        <w:t xml:space="preserve">     </w:t>
      </w:r>
      <w:r>
        <w:rPr>
          <w:rFonts w:hAnsi="宋体" w:cs="宋体"/>
          <w:bCs/>
          <w:color w:val="000000" w:themeColor="text1"/>
        </w:rPr>
        <w:t>C. 废丞相，权分六部</w:t>
      </w:r>
      <w:r>
        <w:rPr>
          <w:rFonts w:hint="eastAsia" w:hAnsi="宋体" w:cs="宋体"/>
          <w:bCs/>
          <w:color w:val="000000" w:themeColor="text1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</w:rPr>
        <w:t>班级：________姓名：________学号：________时间：________作业时长：20分钟</w:t>
      </w:r>
      <w:bookmarkStart w:id="0" w:name="_GoBack"/>
      <w:bookmarkEnd w:id="0"/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 xml:space="preserve">  </w:t>
      </w:r>
      <w:r>
        <w:rPr>
          <w:rFonts w:hAnsi="宋体" w:cs="宋体"/>
          <w:bCs/>
          <w:color w:val="000000" w:themeColor="text1"/>
        </w:rPr>
        <w:t>D. 设置军机处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</w:t>
      </w:r>
      <w:r>
        <w:rPr>
          <w:rFonts w:hAnsi="宋体" w:cs="宋体"/>
          <w:bCs/>
          <w:color w:val="000000" w:themeColor="text1"/>
        </w:rPr>
        <w:t>2.钱穆曾说:“ 内阁只是皇帝的私人办公厅，不是政府正式的政事堂，内阁学士也只是皇帝的内廷</w:t>
      </w:r>
      <w:r>
        <w:rPr>
          <w:rFonts w:hint="eastAsia" w:hAnsi="宋体" w:cs="宋体"/>
          <w:bCs/>
          <w:color w:val="000000" w:themeColor="text1"/>
        </w:rPr>
        <w:t>秘书，不是外朝正式宰相之职，于是皇帝在法理上，变成在政府里的真正领袖。”材料反映的本质是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 xml:space="preserve">A.内阁只是皇帝的侍从机构      </w:t>
      </w:r>
      <w:r>
        <w:rPr>
          <w:rFonts w:hint="eastAsia" w:hAnsi="宋体" w:cs="宋体"/>
          <w:bCs/>
          <w:color w:val="000000" w:themeColor="text1"/>
        </w:rPr>
        <w:t xml:space="preserve">     </w:t>
      </w:r>
      <w:r>
        <w:rPr>
          <w:rFonts w:hAnsi="宋体" w:cs="宋体"/>
          <w:bCs/>
          <w:color w:val="000000" w:themeColor="text1"/>
        </w:rPr>
        <w:t>B.内阁大臣等同于宰相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C. 皇帝成为政府的真正领袖          D. 内阁强化了君主专制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）3．明英宗时期，“凡中外奏章”由内阁“用小票墨书（拟出处理意见），贴在疏面以进，谓之条旨”，供君主参考，或同意或否，用红笔批出，成为决策。这表明当时内阁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A．辅助皇帝处理政务B．已成为国家行政中枢C．限制了皇帝的权力 D．取得了宰相的权位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</w:t>
      </w:r>
      <w:r>
        <w:rPr>
          <w:rFonts w:hint="eastAsia" w:hAnsi="宋体" w:cs="宋体"/>
        </w:rPr>
        <w:t>★</w:t>
      </w:r>
      <w:r>
        <w:rPr>
          <w:rFonts w:hint="eastAsia" w:hAnsi="宋体" w:cs="宋体"/>
          <w:bCs/>
          <w:color w:val="000000" w:themeColor="text1"/>
        </w:rPr>
        <w:t>4.明代后期，“朝廷有命令，必传之于太监，太监传之管文书官，管文书官方传至臣等；内阁有陈说必达之管文书官，管文书官达至太监，太监乃进至御前”。该现象出现的主要原因是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A.内阁权力发生了膨胀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B.司礼监和内阁相制衡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C.君主专制制度的强化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D.明朝中枢机构的变化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）5.第七次出使西洋前夕,郑和等人立碑写道:“及临外邦,藩王之不恭者,生擒之;蛮寇之侵略者,剿灭之。”据此可知,郑和下西洋的主要目的是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A.驱除倭寇    B.大政治影响     C.传播中国文化     D.寻找黄金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76200</wp:posOffset>
            </wp:positionV>
            <wp:extent cx="2182495" cy="1604010"/>
            <wp:effectExtent l="19050" t="0" r="8255" b="0"/>
            <wp:wrapTight wrapText="bothSides">
              <wp:wrapPolygon>
                <wp:start x="-189" y="0"/>
                <wp:lineTo x="-189" y="21292"/>
                <wp:lineTo x="21682" y="21292"/>
                <wp:lineTo x="21682" y="0"/>
                <wp:lineTo x="-189" y="0"/>
              </wp:wrapPolygon>
            </wp:wrapTight>
            <wp:docPr id="1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0003" descr="figur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Cs/>
          <w:color w:val="000000" w:themeColor="text1"/>
        </w:rPr>
        <w:t>（    ）</w:t>
      </w:r>
      <w:r>
        <w:rPr>
          <w:rFonts w:hint="eastAsia" w:hAnsi="宋体" w:cs="宋体"/>
        </w:rPr>
        <w:t>★6.</w:t>
      </w:r>
      <w:r>
        <w:rPr>
          <w:rFonts w:hAnsi="宋体" w:cs="宋体"/>
          <w:bCs/>
          <w:color w:val="000000" w:themeColor="text1"/>
        </w:rPr>
        <w:t>鸳鸯阵（如图示意图）共12人，其中分为藤牌手两名、狼筅手两名、长枪手四名、镗钯手两名、队长和火夫各一位，后来，每队又增加两名鸟铳手，进行远程火力攻击。该阵法主要用来针对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A．倭寇步兵</w:t>
      </w:r>
      <w:r>
        <w:rPr>
          <w:rFonts w:hAnsi="宋体" w:cs="宋体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B．蒙古骑兵</w:t>
      </w:r>
      <w:r>
        <w:rPr>
          <w:rFonts w:hAnsi="宋体" w:cs="宋体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C．满洲弓箭手</w:t>
      </w:r>
      <w:r>
        <w:rPr>
          <w:rFonts w:hAnsi="宋体" w:cs="宋体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D．</w:t>
      </w:r>
      <w:r>
        <w:rPr>
          <w:rFonts w:hint="eastAsia" w:hAnsi="宋体" w:cs="宋体"/>
          <w:bCs/>
          <w:color w:val="000000" w:themeColor="text1"/>
        </w:rPr>
        <w:t>葡萄牙</w:t>
      </w:r>
      <w:r>
        <w:rPr>
          <w:rFonts w:hAnsi="宋体" w:cs="宋体"/>
          <w:bCs/>
          <w:color w:val="000000" w:themeColor="text1"/>
        </w:rPr>
        <w:t>炮兵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7.起于元朝末年的倭患,到明朝中期时,由于朝廷对日本实行经济封锁,严禁海上贸易,致使民间海上走私猖獗。《明史》记述,沿海地区“小民迫于贪黠,苦于徭役,困于饥寒,相率入海从之”。沿海居民堕入倭伍,使倭患更加猖。明廷经过长时间的平倭斗争,以及后来逐渐松弛海禁,东南沿海才趋于稳定。可见,明廷未能短时间内荡平倭寇,主要是因为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A．日本海盗的狡黠和数量众多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B．海禁的负面影响和倭寇成分的复杂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C．明朝廷一贯的闭关锁国政策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D．明廷的武器以及战术战力不如倭寇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）8.</w:t>
      </w:r>
      <w:r>
        <w:rPr>
          <w:rFonts w:hAnsi="宋体" w:cs="宋体"/>
          <w:bCs/>
          <w:color w:val="000000" w:themeColor="text1"/>
        </w:rPr>
        <w:t>明朝是我国统一的多民族国家继续发展和现固的时期。为了加强对边疆少数民族地区的管辖和开发，明朝前期在东北地区</w:t>
      </w:r>
    </w:p>
    <w:p>
      <w:pPr>
        <w:pStyle w:val="2"/>
        <w:tabs>
          <w:tab w:val="left" w:pos="420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A．封大祚荣为渤海郡王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B．设立奴儿干都司</w:t>
      </w:r>
    </w:p>
    <w:p>
      <w:pPr>
        <w:pStyle w:val="2"/>
        <w:tabs>
          <w:tab w:val="left" w:pos="420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C．设立乌里雅苏台将军府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D．设立行都指挥使司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）9.</w:t>
      </w:r>
      <w:r>
        <w:rPr>
          <w:rFonts w:hAnsi="宋体" w:cs="宋体"/>
          <w:bCs/>
          <w:color w:val="000000" w:themeColor="text1"/>
        </w:rPr>
        <w:t>明嘉靖年间，蒙古各部随着经济的发展和人口的增加不满足于朝贡马市贸易，强烈要求更大规模的、包括民间贸易和生产资料交换在内的互市贸易。他们甚至大兵压境，明廷连年抗战，兵费浩繁和财政匮乏，不得不考虑蒙古的要求。为此明政府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A．在长城沿线设置重镇，派驻重兵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B．设立金融机构——日升昌票号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C．开放民间私人交易的民市，小市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D．设立会馆以供商人停宿、储运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）10.“明朝昏主不仁，宠宦官，重科第，贪税敛，重刑罚，不能救民水火。”发布这份檄文的起义军为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A.张角起义军   B.陈胜、吴广起义军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C.黄巢起义军   D.李自成起义军</w:t>
      </w:r>
    </w:p>
    <w:p>
      <w:pPr>
        <w:pStyle w:val="2"/>
        <w:tabs>
          <w:tab w:val="left" w:pos="4620"/>
        </w:tabs>
        <w:snapToGrid w:val="0"/>
        <w:rPr>
          <w:rFonts w:hint="eastAsia" w:hAnsi="宋体" w:cs="宋体"/>
          <w:b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hint="eastAsia" w:hAnsi="宋体" w:cs="宋体"/>
          <w:b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hint="eastAsia" w:hAnsi="宋体" w:cs="宋体"/>
          <w:b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二、非选择题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★</w:t>
      </w:r>
      <w:r>
        <w:rPr>
          <w:rFonts w:hAnsi="宋体" w:cs="宋体"/>
          <w:b/>
        </w:rPr>
        <w:t>1</w:t>
      </w:r>
      <w:r>
        <w:rPr>
          <w:rFonts w:hint="eastAsia" w:hAnsi="宋体" w:cs="宋体"/>
          <w:b/>
        </w:rPr>
        <w:t>1</w:t>
      </w:r>
      <w:r>
        <w:rPr>
          <w:rFonts w:hAnsi="宋体" w:cs="宋体"/>
        </w:rPr>
        <w:t>.阅读材料,回答问题。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Ansi="宋体" w:cs="宋体"/>
        </w:rPr>
        <w:t>材料一</w:t>
      </w:r>
      <w:r>
        <w:rPr>
          <w:rFonts w:hint="eastAsia" w:hAnsi="宋体" w:cs="宋体"/>
        </w:rPr>
        <w:t>：</w:t>
      </w:r>
      <w:r>
        <w:rPr>
          <w:rFonts w:hAnsi="宋体" w:cs="宋体"/>
        </w:rPr>
        <w:t>“隋朝尚书令事无不统,即不预机事,亦称政本之地。”三省的轴心在“尚书都省”,门下、内史省的长官只能作为“参掌朝政”的辅助。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唐制:每事先经中书省,中书做定将上,得旨,再下中书,中书以付门下。或有未当,则门下缴驳,又还中书,中书又将上,得旨,再下中书,中书又付门下。若可行,门下又下尚书省,尚书但主书撰奉行而已。如果在实际过程中发生分歧异议,皇帝就成为当然的最高裁定者。</w:t>
      </w:r>
    </w:p>
    <w:p>
      <w:pPr>
        <w:pStyle w:val="2"/>
        <w:tabs>
          <w:tab w:val="left" w:pos="4620"/>
        </w:tabs>
        <w:snapToGrid w:val="0"/>
        <w:ind w:firstLine="5040" w:firstLineChars="2400"/>
        <w:rPr>
          <w:rFonts w:hAnsi="宋体" w:cs="宋体"/>
        </w:rPr>
      </w:pPr>
      <w:r>
        <w:rPr>
          <w:rFonts w:hAnsi="宋体" w:cs="宋体"/>
        </w:rPr>
        <w:t>——摘编自庞海云、张辉等《中国政治制度史》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Ansi="宋体" w:cs="宋体"/>
        </w:rPr>
        <w:t>材料二</w:t>
      </w:r>
      <w:r>
        <w:rPr>
          <w:rFonts w:hint="eastAsia" w:hAnsi="宋体" w:cs="宋体"/>
        </w:rPr>
        <w:t>：</w:t>
      </w:r>
      <w:r>
        <w:rPr>
          <w:rFonts w:hAnsi="宋体" w:cs="宋体"/>
        </w:rPr>
        <w:t>朱元璋压缩中书省正官和掾属编制、废行中书省、扩充六部官制、皇太子预征,采取各种措施侵夺宰相的知情权、用人权等,进行有计划、有步骤的政治改革。胡惟庸党案促使其下定决心,对宰相制度“斩草除根”。朱元璋废相之后,六部尚书由正三品升为正二品,六部由宰相之下属变为由皇帝直接指挥。六部分理庶务,事权分散,不可能对皇权构成威胁。</w:t>
      </w:r>
    </w:p>
    <w:p>
      <w:pPr>
        <w:pStyle w:val="2"/>
        <w:tabs>
          <w:tab w:val="left" w:pos="4620"/>
        </w:tabs>
        <w:snapToGrid w:val="0"/>
        <w:ind w:firstLine="1050" w:firstLineChars="500"/>
        <w:rPr>
          <w:rFonts w:hAnsi="宋体" w:cs="宋体"/>
        </w:rPr>
      </w:pPr>
      <w:r>
        <w:rPr>
          <w:rFonts w:hAnsi="宋体" w:cs="宋体"/>
        </w:rPr>
        <w:t>——摘编自李子龙《虽无宰相之名</w:t>
      </w:r>
      <w:r>
        <w:rPr>
          <w:rFonts w:hint="eastAsia" w:hAnsi="宋体" w:cs="宋体"/>
        </w:rPr>
        <w:t>，</w:t>
      </w:r>
      <w:r>
        <w:rPr>
          <w:rFonts w:hAnsi="宋体" w:cs="宋体"/>
        </w:rPr>
        <w:t>实有赞襄之责——论明朝宰相的废除与内阁制度的确立》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请回答：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(1)根据材料一,说明与隋朝相比唐朝三省体制的不同及其产生的影响。</w:t>
      </w:r>
      <w:r>
        <w:rPr>
          <w:rFonts w:hint="eastAsia" w:hAnsi="宋体" w:cs="宋体"/>
        </w:rPr>
        <w:t>（4分）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(2)根据材料二,归纳朱元璋对宰相制度的改变。综合上述材料并结合所学知识,分析中国古代相权的发展趋势。</w:t>
      </w:r>
      <w:r>
        <w:rPr>
          <w:rFonts w:hint="eastAsia" w:hAnsi="宋体" w:cs="宋体"/>
        </w:rPr>
        <w:t>（6分）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szCs w:val="21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20E6A"/>
    <w:rsid w:val="0002158C"/>
    <w:rsid w:val="00036F0F"/>
    <w:rsid w:val="00083652"/>
    <w:rsid w:val="000966DA"/>
    <w:rsid w:val="000A35CD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61FBA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2FCB"/>
    <w:rsid w:val="002766FE"/>
    <w:rsid w:val="002855F4"/>
    <w:rsid w:val="002B0486"/>
    <w:rsid w:val="002B0B38"/>
    <w:rsid w:val="002B474A"/>
    <w:rsid w:val="002C0975"/>
    <w:rsid w:val="002D2297"/>
    <w:rsid w:val="002D71F4"/>
    <w:rsid w:val="002D71F5"/>
    <w:rsid w:val="002E31FA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63347"/>
    <w:rsid w:val="00365420"/>
    <w:rsid w:val="0037564C"/>
    <w:rsid w:val="00382F4D"/>
    <w:rsid w:val="00390016"/>
    <w:rsid w:val="00391EC0"/>
    <w:rsid w:val="003A365E"/>
    <w:rsid w:val="003C0A54"/>
    <w:rsid w:val="003C45AB"/>
    <w:rsid w:val="003C7E33"/>
    <w:rsid w:val="003D096E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65D55"/>
    <w:rsid w:val="00475CB6"/>
    <w:rsid w:val="00494E55"/>
    <w:rsid w:val="004B3699"/>
    <w:rsid w:val="004B7662"/>
    <w:rsid w:val="004C08C7"/>
    <w:rsid w:val="004C67F2"/>
    <w:rsid w:val="004D4A9F"/>
    <w:rsid w:val="004D7886"/>
    <w:rsid w:val="004F46A9"/>
    <w:rsid w:val="004F56BF"/>
    <w:rsid w:val="005003A5"/>
    <w:rsid w:val="005073C1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971ED"/>
    <w:rsid w:val="005C22CF"/>
    <w:rsid w:val="005C429D"/>
    <w:rsid w:val="005C607E"/>
    <w:rsid w:val="005D62C2"/>
    <w:rsid w:val="005E0E76"/>
    <w:rsid w:val="005E43D5"/>
    <w:rsid w:val="005E4837"/>
    <w:rsid w:val="005F4453"/>
    <w:rsid w:val="00601F48"/>
    <w:rsid w:val="00603B66"/>
    <w:rsid w:val="00607239"/>
    <w:rsid w:val="006116A2"/>
    <w:rsid w:val="00616B4E"/>
    <w:rsid w:val="006221EB"/>
    <w:rsid w:val="0062236B"/>
    <w:rsid w:val="00631F94"/>
    <w:rsid w:val="00661292"/>
    <w:rsid w:val="0067388F"/>
    <w:rsid w:val="006747BE"/>
    <w:rsid w:val="00675E21"/>
    <w:rsid w:val="00683E88"/>
    <w:rsid w:val="006915D4"/>
    <w:rsid w:val="00697CF8"/>
    <w:rsid w:val="006A1679"/>
    <w:rsid w:val="006A3FE5"/>
    <w:rsid w:val="006C1909"/>
    <w:rsid w:val="006D2580"/>
    <w:rsid w:val="006D425C"/>
    <w:rsid w:val="006E3AF4"/>
    <w:rsid w:val="006E4AA9"/>
    <w:rsid w:val="006F0B8E"/>
    <w:rsid w:val="007225B2"/>
    <w:rsid w:val="00722823"/>
    <w:rsid w:val="00731A13"/>
    <w:rsid w:val="0073407D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44C8"/>
    <w:rsid w:val="008C729E"/>
    <w:rsid w:val="008D32D1"/>
    <w:rsid w:val="008E4175"/>
    <w:rsid w:val="008F48DA"/>
    <w:rsid w:val="008F4D38"/>
    <w:rsid w:val="009038AC"/>
    <w:rsid w:val="00922C51"/>
    <w:rsid w:val="009246C1"/>
    <w:rsid w:val="00941CDE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F2892"/>
    <w:rsid w:val="009F5574"/>
    <w:rsid w:val="00A0337C"/>
    <w:rsid w:val="00A17086"/>
    <w:rsid w:val="00A175CD"/>
    <w:rsid w:val="00A369F2"/>
    <w:rsid w:val="00A51BF8"/>
    <w:rsid w:val="00A53B46"/>
    <w:rsid w:val="00A7572D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2945"/>
    <w:rsid w:val="00BF300D"/>
    <w:rsid w:val="00C1198B"/>
    <w:rsid w:val="00C123F2"/>
    <w:rsid w:val="00C152FD"/>
    <w:rsid w:val="00C3260D"/>
    <w:rsid w:val="00C3694C"/>
    <w:rsid w:val="00C4229A"/>
    <w:rsid w:val="00C43B3C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5F18"/>
    <w:rsid w:val="00D571A0"/>
    <w:rsid w:val="00D715AB"/>
    <w:rsid w:val="00D74D77"/>
    <w:rsid w:val="00D75AF9"/>
    <w:rsid w:val="00D83D45"/>
    <w:rsid w:val="00D85523"/>
    <w:rsid w:val="00D878B4"/>
    <w:rsid w:val="00D95A23"/>
    <w:rsid w:val="00D96DDE"/>
    <w:rsid w:val="00DA7D96"/>
    <w:rsid w:val="00DB071D"/>
    <w:rsid w:val="00DC23B1"/>
    <w:rsid w:val="00DC6899"/>
    <w:rsid w:val="00DC715C"/>
    <w:rsid w:val="00DD0635"/>
    <w:rsid w:val="00DE032D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370A6"/>
    <w:rsid w:val="00F41936"/>
    <w:rsid w:val="00FB0DD9"/>
    <w:rsid w:val="00FB4442"/>
    <w:rsid w:val="00FC4C3C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7442353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1845</Words>
  <Characters>1918</Characters>
  <Lines>14</Lines>
  <Paragraphs>4</Paragraphs>
  <TotalTime>0</TotalTime>
  <ScaleCrop>false</ScaleCrop>
  <LinksUpToDate>false</LinksUpToDate>
  <CharactersWithSpaces>2038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2022-08-03T08:48:00Z</dcterms:created>
  <dc:creator>PC</dc:creator>
  <cp:lastModifiedBy>家珍</cp:lastModifiedBy>
  <cp:lastPrinted>2021-03-29T09:08:00Z</cp:lastPrinted>
  <dcterms:modified xsi:type="dcterms:W3CDTF">2022-11-03T08:33:28Z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148A53DDD2284C3E932DF7CE2F06FF2F</vt:lpwstr>
  </property>
</Properties>
</file>