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48" w:lineRule="exact"/>
        <w:jc w:val="center"/>
        <w:textAlignment w:val="auto"/>
        <w:rPr>
          <w:rFonts w:hint="default" w:ascii="黑体" w:hAnsi="黑体" w:eastAsia="黑体" w:cs="黑体"/>
          <w:b/>
          <w:bCs/>
          <w:sz w:val="28"/>
          <w:szCs w:val="28"/>
          <w:lang w:val="en-US" w:eastAsia="zh-CN"/>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w:t>
      </w:r>
      <w:r>
        <w:rPr>
          <w:rFonts w:hint="eastAsia" w:ascii="黑体" w:hAnsi="宋体" w:eastAsia="黑体"/>
          <w:b/>
          <w:sz w:val="28"/>
          <w:szCs w:val="28"/>
          <w:lang w:val="en-US" w:eastAsia="zh-CN"/>
        </w:rPr>
        <w:t>二</w:t>
      </w:r>
      <w:r>
        <w:rPr>
          <w:rFonts w:hint="eastAsia" w:ascii="黑体" w:hAnsi="宋体" w:eastAsia="黑体"/>
          <w:b/>
          <w:sz w:val="28"/>
          <w:szCs w:val="28"/>
        </w:rPr>
        <w:t>学期高一政治</w:t>
      </w:r>
      <w:r>
        <w:rPr>
          <w:rFonts w:hint="eastAsia" w:ascii="黑体" w:hAnsi="宋体" w:eastAsia="黑体"/>
          <w:b/>
          <w:sz w:val="28"/>
          <w:szCs w:val="28"/>
          <w:lang w:val="en-US" w:eastAsia="zh-CN"/>
        </w:rPr>
        <w:t>学科作业</w:t>
      </w:r>
    </w:p>
    <w:p>
      <w:pPr>
        <w:keepNext w:val="0"/>
        <w:keepLines w:val="0"/>
        <w:pageBreakBefore w:val="0"/>
        <w:widowControl/>
        <w:numPr>
          <w:ilvl w:val="0"/>
          <w:numId w:val="1"/>
        </w:numPr>
        <w:kinsoku/>
        <w:wordWrap/>
        <w:overflowPunct/>
        <w:topLinePunct w:val="0"/>
        <w:autoSpaceDE/>
        <w:autoSpaceDN/>
        <w:bidi w:val="0"/>
        <w:adjustRightInd/>
        <w:snapToGrid/>
        <w:spacing w:line="348" w:lineRule="exact"/>
        <w:jc w:val="center"/>
        <w:textAlignment w:val="auto"/>
        <w:rPr>
          <w:rFonts w:hint="eastAsia" w:ascii="黑体" w:hAnsi="黑体" w:eastAsia="黑体"/>
          <w:b/>
          <w:bCs/>
          <w:color w:val="000000"/>
          <w:sz w:val="28"/>
          <w:szCs w:val="32"/>
          <w:lang w:val="en-US" w:eastAsia="zh-CN"/>
        </w:rPr>
      </w:pPr>
      <w:r>
        <w:rPr>
          <w:rFonts w:hint="eastAsia" w:ascii="黑体" w:hAnsi="黑体" w:eastAsia="黑体"/>
          <w:b/>
          <w:bCs/>
          <w:color w:val="000000"/>
          <w:sz w:val="28"/>
          <w:szCs w:val="32"/>
          <w:lang w:val="en-US" w:eastAsia="zh-CN"/>
        </w:rPr>
        <w:t>第二单元主观题专项练习</w:t>
      </w:r>
    </w:p>
    <w:p>
      <w:pPr>
        <w:keepNext w:val="0"/>
        <w:keepLines w:val="0"/>
        <w:pageBreakBefore w:val="0"/>
        <w:widowControl/>
        <w:numPr>
          <w:ilvl w:val="0"/>
          <w:numId w:val="0"/>
        </w:numPr>
        <w:kinsoku/>
        <w:wordWrap/>
        <w:overflowPunct/>
        <w:topLinePunct w:val="0"/>
        <w:autoSpaceDE/>
        <w:autoSpaceDN/>
        <w:bidi w:val="0"/>
        <w:adjustRightInd/>
        <w:snapToGrid/>
        <w:spacing w:line="348" w:lineRule="exact"/>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spacing w:line="348" w:lineRule="exact"/>
        <w:jc w:val="center"/>
        <w:rPr>
          <w:rFonts w:hint="default" w:ascii="宋体" w:hAnsi="宋体" w:cs="宋体"/>
          <w:b/>
          <w:bCs/>
          <w:szCs w:val="21"/>
          <w:lang w:val="en-US"/>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lang w:val="en-US" w:eastAsia="zh-CN"/>
        </w:rPr>
        <w:t>建议用时</w:t>
      </w:r>
      <w:r>
        <w:rPr>
          <w:rFonts w:hint="eastAsia" w:ascii="楷体" w:hAnsi="楷体" w:eastAsia="楷体" w:cs="楷体"/>
          <w:sz w:val="24"/>
        </w:rPr>
        <w:t>：</w:t>
      </w:r>
      <w:r>
        <w:rPr>
          <w:rFonts w:hint="eastAsia" w:ascii="楷体" w:hAnsi="楷体" w:eastAsia="楷体" w:cs="楷体"/>
          <w:sz w:val="24"/>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rPr>
          <w:rFonts w:hint="eastAsia"/>
          <w:lang w:val="en-US" w:eastAsia="zh-CN"/>
        </w:rPr>
        <w:t>1.</w:t>
      </w:r>
      <w:r>
        <w:rPr>
          <w:rFonts w:ascii="楷体" w:hAnsi="楷体" w:eastAsia="楷体" w:cs="楷体"/>
        </w:rPr>
        <w:t>乡村振兴，关键在党。要加强党对农村工作的全面领导，各级党委要扛起政治责任，在上级决策部署的大前提下，结合实际创造性地开展工作，积极探索符合本地实际的发展路径和方法。乡村振兴各项政策，最终要靠农村基层党组织来落实，必须建设一支政治过硬、本领过硬、作风过硬的乡村振兴干部队伍。坚持从群众中来到群众中去的工作路线，倾听民众意见，广泛依靠农民、教育引导农民、组织带动农民，激发广大农民群众积极性、主动性、创造性，投身乡村振兴，建设美好家园。</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t>(1)结合材料，运用《政治与法治》中“坚持党的领导”的相关知识，说明全力推进乡村振兴为什么要坚持中国共产党的领导。</w:t>
      </w:r>
    </w:p>
    <w:tbl>
      <w:tblPr>
        <w:tblStyle w:val="5"/>
        <w:tblpPr w:leftFromText="180" w:rightFromText="180" w:vertAnchor="text" w:horzAnchor="page" w:tblpX="840" w:tblpY="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3" w:type="dxa"/>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t>(2)结合材料，说明乡村振兴是如何体现党的执政方式的。</w:t>
      </w:r>
    </w:p>
    <w:tbl>
      <w:tblPr>
        <w:tblStyle w:val="5"/>
        <w:tblpPr w:leftFromText="180" w:rightFromText="180" w:vertAnchor="text" w:horzAnchor="page" w:tblpX="810" w:tblpY="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rPr>
          <w:rFonts w:hint="eastAsia"/>
          <w:lang w:val="en-US" w:eastAsia="zh-CN"/>
        </w:rPr>
        <w:t>2.</w:t>
      </w:r>
      <w:r>
        <w:t>阅读材料，完成下列要求。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left"/>
        <w:textAlignment w:val="center"/>
      </w:pPr>
      <w:r>
        <w:rPr>
          <w:rFonts w:ascii="楷体" w:hAnsi="楷体" w:eastAsia="楷体" w:cs="楷体"/>
        </w:rPr>
        <w:t>翻开党的历史，从毛泽东同志提出“没有调查，没有发言权”的重大命题，到邓小平同志指出要把调查研究“作为永远的、根本的工作方法”，再到习近平总书记作出“调查研究是我们党的传家宝，是做好各项工作的基本功”的深刻论断。一代代共产党人奔赴的身影，闪耀着调查研究优良传统的光辉。调查研究是洞察大势的“望远镜”，是破解难题的“金钥匙”，是科学决策的“地基桩”，是改进作风的“磨刀石”，是“中国共产党为什么能”的关键密码。</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left"/>
        <w:textAlignment w:val="center"/>
      </w:pPr>
      <w:r>
        <w:rPr>
          <w:rFonts w:ascii="楷体" w:hAnsi="楷体" w:eastAsia="楷体" w:cs="楷体"/>
        </w:rPr>
        <w:t>为搞好调查研究，广大党员干部纷纷深入实际和基层、倾听群众呼声、反映群众愿望、关心群众疾苦，向群众求教，向人民问策。搞好调查研究，要有直面问题的勇气、坚持真理的追求、修正错误的魄力；搞好调查研究，既要看“高楼大厦”，又要看“背阴胡同”，听真话、察实情、谋实策，确保调查研究的过程和结果都真实可靠。搞好调查研究，不能搞“看‘门面’和‘窗口’多、看‘后院'和‘角落’少”的“浅调研”，也不能搞“遇到困难绕着走、碰见矛盾拐个弯”的“选择性调研”；搞好调查研究，不能“一叶障目”“盲人摸象”，要把握好全局和局部、当前和长远、微观和宏观、特殊和一般的关系。穿越历史的时空，追寻永恒的足迹，传家宝永不过时。</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t>结合材料，运用《政治与法治》的知识，谈谈你对新时代中国共产党坚持调查研究优良传统的认识。</w:t>
      </w:r>
    </w:p>
    <w:tbl>
      <w:tblPr>
        <w:tblStyle w:val="5"/>
        <w:tblpPr w:leftFromText="180" w:rightFromText="180" w:vertAnchor="text" w:horzAnchor="page" w:tblpX="720" w:tblpY="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both"/>
        <w:textAlignment w:val="center"/>
      </w:pPr>
      <w:r>
        <w:rPr>
          <w:rFonts w:hint="eastAsia"/>
          <w:lang w:val="en-US" w:eastAsia="zh-CN"/>
        </w:rPr>
        <w:t>3.</w:t>
      </w:r>
      <w:r>
        <w:t>阅读材料，完成下列要求。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both"/>
        <w:textAlignment w:val="center"/>
      </w:pPr>
      <w:r>
        <w:rPr>
          <w:rFonts w:ascii="楷体" w:hAnsi="楷体" w:eastAsia="楷体" w:cs="楷体"/>
        </w:rPr>
        <w:t>时代楷模，是由中国共产党中央委员会宣传部集中组织宣传的全国重大先进典型，是具有很强先进性、代表性、时代性和典型性的先进人物。从2014年颁布至今，已有上百名优秀的共产党员个人和集体获得这项光荣的称号，他们的崇高精神是党和国家的宝贵财富。</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both"/>
        <w:textAlignment w:val="center"/>
      </w:pPr>
      <w:r>
        <w:rPr>
          <w:rFonts w:ascii="楷体" w:hAnsi="楷体" w:eastAsia="楷体" w:cs="楷体"/>
        </w:rPr>
        <w:t>代表人物：张连印</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both"/>
        <w:textAlignment w:val="center"/>
      </w:pPr>
      <w:r>
        <w:rPr>
          <w:rFonts w:ascii="楷体" w:hAnsi="楷体" w:eastAsia="楷体" w:cs="楷体"/>
        </w:rPr>
        <w:t>张连印，原河北省军区副司令员。他深念组织培养之恩，心怀乡亲养育之情，自2003年退休后，与人民群众休戚与共，坚持奋斗在绿化荒山、防风固沙的“新战场”。20年来，他带领团队共植树1.8万余亩、200多万株，为了造林倾尽积蓄，并将生态文明建设成果无偿交给了集体。他还身体力行弘扬党的优良作风，宣讲党的光辉历史，面向干部群众和青少年开展党史教育，受到当地群众高度赞誉，也为广大党员领导干部作出了光辉榜样，被誉为“新时代的甘祖昌”“穿军装的杨善洲”。</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both"/>
        <w:textAlignment w:val="center"/>
      </w:pPr>
      <w:r>
        <w:t>结合材料，运用“发挥共产党员的先锋模范作用”的知识，谈谈假如你是一名共产党员，你从张连印的事迹中汲取到了哪些精神力量?</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both"/>
        <w:textAlignment w:val="center"/>
      </w:pP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both"/>
        <w:textAlignment w:val="center"/>
      </w:pPr>
    </w:p>
    <w:tbl>
      <w:tblPr>
        <w:tblStyle w:val="5"/>
        <w:tblpPr w:leftFromText="180" w:rightFromText="180" w:vertAnchor="text" w:horzAnchor="page" w:tblpX="720"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both"/>
        <w:textAlignment w:val="center"/>
      </w:pP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both"/>
        <w:textAlignment w:val="center"/>
      </w:pPr>
      <w:r>
        <w:rPr>
          <w:rFonts w:hint="eastAsia"/>
          <w:lang w:val="en-US" w:eastAsia="zh-CN"/>
        </w:rPr>
        <w:t>4.</w:t>
      </w:r>
      <w:r>
        <w:t>阅读材料，完成下列要求。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both"/>
        <w:textAlignment w:val="center"/>
      </w:pPr>
      <w:r>
        <w:rPr>
          <w:rFonts w:ascii="楷体" w:hAnsi="楷体" w:eastAsia="楷体" w:cs="楷体"/>
        </w:rPr>
        <w:t>习近平总书记指出：“我们党历史这么长、规模这么大、执政这么久，如何跳出治乱兴衰的历史周期率？”毛泽东同志在延安的窑洞里给出了第一个答案，这就是“只有让人民来监督政府，政府才不敢松懈”。经过百年奋斗特别是党的十八大以来新的实践，我们党又给出了第二个答案，这就是“自我革命”。两个答案，从探寻党和人民的关系，到将目光放到党的自身、反求诸己，是一脉相承的，是走好“赶考”之路的清醒坚定，是走得再远都不会忘记的初心使命和历史自信。党的十八大以来，我们继承和发展马克思主义党建学说，总结运用党的百年奋斗历史经验，对建设什么样的长期执政的马克思主义政党、怎样建设长期执政的马克思主义政党的规律性认识达到了新高度，全面从严治党探索出依靠党的自我革命跳出历史周期率的成功路径。</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both"/>
        <w:textAlignment w:val="center"/>
      </w:pPr>
      <w:r>
        <w:t>运用政治与法治知识，说明上述材料中中国共产党的做法对党跳出历史周期率的意义。</w:t>
      </w:r>
    </w:p>
    <w:tbl>
      <w:tblPr>
        <w:tblStyle w:val="5"/>
        <w:tblpPr w:leftFromText="180" w:rightFromText="180" w:vertAnchor="text" w:horzAnchor="page" w:tblpX="720"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rPr>
          <w:rFonts w:hint="eastAsia"/>
          <w:lang w:val="en-US" w:eastAsia="zh-CN"/>
        </w:rPr>
        <w:t>5.</w:t>
      </w:r>
      <w:r>
        <w:t>阅读材料，完成下列要求。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left"/>
        <w:textAlignment w:val="center"/>
      </w:pPr>
      <w:r>
        <w:rPr>
          <w:rFonts w:ascii="楷体" w:hAnsi="楷体" w:eastAsia="楷体" w:cs="楷体"/>
        </w:rPr>
        <w:t>中国式现代化是中国共产党领导的社会主义现代化。党的十八大以来，中国共产党不断深化认识，创立了习近平新时代中国特色社会主义思想,实现了马克思主义中国化时代化新的飞跃;健全党的领导制度体系，完善党中央重大决策部署落实机制，确保全党在政治立场、政治方向、政治原则、政治道路上同党中央保持高度一致;注重队伍建设，加强干部斗争精神和斗争本领养成，着力增强防风险、迎挑战、抗打压能力，带头担当作为，成功推进和拓展了中国式现代化,取得了新时代十年的伟大成就。</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t>结合材料，运用“坚持和加强党的全面领导”的知识，说明新时代应怎样坚持和加强党的全面领导,开创中国式现代化的新局面。</w:t>
      </w:r>
    </w:p>
    <w:tbl>
      <w:tblPr>
        <w:tblStyle w:val="5"/>
        <w:tblpPr w:leftFromText="180" w:rightFromText="180" w:vertAnchor="text" w:horzAnchor="page" w:tblpX="720"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both"/>
        <w:textAlignment w:val="center"/>
      </w:pPr>
      <w:r>
        <w:rPr>
          <w:rFonts w:hint="eastAsia"/>
          <w:lang w:val="en-US" w:eastAsia="zh-CN"/>
        </w:rPr>
        <w:t>6.</w:t>
      </w:r>
      <w:r>
        <w:t>阅读材料，完成下列要求。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both"/>
        <w:textAlignment w:val="center"/>
      </w:pPr>
      <w:r>
        <w:rPr>
          <w:rFonts w:ascii="楷体" w:hAnsi="楷体" w:eastAsia="楷体" w:cs="楷体"/>
        </w:rPr>
        <w:t>以老旧小区改造为代表的城市更新，事关群众切身利益，承载着人们对美好生活的向往，是一项实实在在的惠民工程。如何把好事办到群众心坎儿上?“站在群众的角度想，为了群众的利益，靠着群众的力量干，努力实现‘温暖旧改’”，是酒仙桥摸索出的旧改经验。朝阳区酒仙桥街道社区党工委结合主题教育，坚持党建引领群众工作，树立了“旧改为了群众，旧改依靠群众”的工作思路，探索“沉浸式群众工作法”。街道始终“站在群众的角度想”问题，通过召开专题会等多种形式思想动员，以暖心的方式推动旧改项目取得重大突破。居委会制定老旧小区改造民意调查表,通过入户走访的形式广泛征求居民改造需求及意愿，解答群众疑惑，收集群众诉求，不断完善改造计划和实施方案。</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both"/>
        <w:textAlignment w:val="center"/>
      </w:pPr>
      <w:r>
        <w:rPr>
          <w:rFonts w:ascii="楷体" w:hAnsi="楷体" w:eastAsia="楷体" w:cs="楷体"/>
        </w:rPr>
        <w:t>群众的事情还要“依靠群众的力量干”。社区充分发挥群众力量共同推进旧改工作，搭建“1+2+3+5”志愿服务体系，即搭建1个党建工作协调委员会平台，组建“久爱新家”“久爱红霞”2个社区党建品牌，发挥社区党委各支部、志愿者群众和社会组织3个层面作用，建立5支服务队伍，分层次分区域开展志愿工作。“温暖旧改”赋能城市更新。改造前问需于民，改造中问计于民，改造后问效于民，凝聚共识、化解矛盾、协力推进，让城市更新形成有序参与、有效治理的良性循环。</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both"/>
        <w:textAlignment w:val="center"/>
      </w:pPr>
      <w:r>
        <w:t>结合材料，运用政治与法治知识，分析朝阳区酒仙桥街道社区的“温暖旧改”是如何赋能城市更新的。</w:t>
      </w:r>
    </w:p>
    <w:tbl>
      <w:tblPr>
        <w:tblStyle w:val="5"/>
        <w:tblpPr w:leftFromText="180" w:rightFromText="180" w:vertAnchor="text" w:horzAnchor="page" w:tblpX="720"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both"/>
        <w:textAlignment w:val="center"/>
      </w:pPr>
      <w:r>
        <w:rPr>
          <w:rFonts w:hint="eastAsia"/>
          <w:lang w:val="en-US" w:eastAsia="zh-CN"/>
        </w:rPr>
        <w:t>7.</w:t>
      </w:r>
      <w:r>
        <w:t>阅读材料，完成下列要求。此题仅学考班学生做，选考班不做</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both"/>
        <w:textAlignment w:val="center"/>
      </w:pPr>
      <w:r>
        <w:rPr>
          <w:rFonts w:ascii="楷体" w:hAnsi="楷体" w:eastAsia="楷体" w:cs="楷体"/>
        </w:rPr>
        <w:t>食品的安全关切人民生命安全和身体健康。近年来，山东省某市公安机关认真落实国家、省、市有关食品安全工作的要求，认真履责，主动作为，重拳出击，卓有成效地组织开展了一系列打击食品安全领域违法犯罪专项整治行动，有力震慑了食品安全违法犯罪行为，维护了食品安全。</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both"/>
        <w:textAlignment w:val="center"/>
      </w:pPr>
      <w:r>
        <w:rPr>
          <w:rFonts w:ascii="楷体" w:hAnsi="楷体" w:eastAsia="楷体" w:cs="楷体"/>
        </w:rPr>
        <w:t>近年来，该市公安局共侦办食品类案件25起(其中省督办案件7起)，打掉团伙9个，捣毁窝点27处，涉案金额3000万余元，抓获犯罪嫌疑人58人，移送起诉54人，切实维护人民群众合法权益，全力维护社会治安秩序。</w:t>
      </w:r>
    </w:p>
    <w:tbl>
      <w:tblPr>
        <w:tblStyle w:val="5"/>
        <w:tblpPr w:leftFromText="180" w:rightFromText="180" w:vertAnchor="text" w:horzAnchor="page" w:tblpX="780" w:tblpY="8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t>结合材料，运用“人民民主专政的社会主义国家”的相关知识，谈谈该市是如何为人民生命安全和身体健康保驾护航的。</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both"/>
        <w:textAlignment w:val="center"/>
      </w:pPr>
      <w:r>
        <w:rPr>
          <w:rFonts w:hint="eastAsia"/>
          <w:lang w:val="en-US" w:eastAsia="zh-CN"/>
        </w:rPr>
        <w:t>8</w:t>
      </w:r>
      <w:r>
        <w:t>．阅读材料，完成下列要求。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both"/>
        <w:textAlignment w:val="center"/>
      </w:pPr>
      <w:r>
        <w:t>2023</w:t>
      </w:r>
      <w:r>
        <w:rPr>
          <w:rFonts w:ascii="楷体" w:hAnsi="楷体" w:eastAsia="楷体" w:cs="楷体"/>
        </w:rPr>
        <w:t>年</w:t>
      </w:r>
      <w:r>
        <w:t>11</w:t>
      </w:r>
      <w:r>
        <w:rPr>
          <w:rFonts w:ascii="楷体" w:hAnsi="楷体" w:eastAsia="楷体" w:cs="楷体"/>
        </w:rPr>
        <w:t>月，全国人大常委会委员长在重庆调研，考察重庆打造践行全过程人民民主基层单元的情况。</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both"/>
        <w:textAlignment w:val="center"/>
      </w:pPr>
      <w:r>
        <w:rPr>
          <w:rFonts w:ascii="楷体" w:hAnsi="楷体" w:eastAsia="楷体" w:cs="楷体"/>
        </w:rPr>
        <w:t>他深入乡村、社区、企业，走进人大代表家站和居民家中，与代表、群众亲切交流，了解代表依法履职情况，听取群众意见建议。他指出，人大各项工作要坚持以人民为中心，践行党的群众路线，充分吸纳民意、汇集民智，充分调动群众的积极性主动性创造性，推动解决群众急难愁盼问题。</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both"/>
        <w:textAlignment w:val="center"/>
      </w:pPr>
      <w:r>
        <w:rPr>
          <w:rFonts w:ascii="楷体" w:hAnsi="楷体" w:eastAsia="楷体" w:cs="楷体"/>
        </w:rPr>
        <w:t>他来到市、县人大常委会机关和乡镇人大，调研代表履职、备案审查等工作，并主持召开座谈会。他强调，在以习近平同志为核心的党中央集中统一领导下，围绕贯彻落实党中央重大决策部署，全国人大和地方人大要密切协同、同题共答，共同提升新时代人大工作质量和水平。</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both"/>
        <w:textAlignment w:val="center"/>
      </w:pPr>
      <w:r>
        <w:t>结合材料并运用</w:t>
      </w:r>
      <w:r>
        <w:rPr>
          <w:rFonts w:hint="eastAsia"/>
          <w:lang w:eastAsia="zh-CN"/>
        </w:rPr>
        <w:t>人民当家做主的相关</w:t>
      </w:r>
      <w:r>
        <w:t>知识，说明我国的人民代表大会制度是如何落实全过程人民民主的。</w:t>
      </w:r>
    </w:p>
    <w:tbl>
      <w:tblPr>
        <w:tblStyle w:val="5"/>
        <w:tblpPr w:leftFromText="180" w:rightFromText="180" w:vertAnchor="text" w:horzAnchor="page" w:tblpX="720"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rPr>
          <w:rFonts w:hint="eastAsia"/>
          <w:lang w:val="en-US" w:eastAsia="zh-CN"/>
        </w:rPr>
        <w:t>9</w:t>
      </w:r>
      <w:r>
        <w:t>．阅读材料，完成下列要求。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left"/>
        <w:textAlignment w:val="center"/>
      </w:pPr>
      <w:r>
        <w:rPr>
          <w:rFonts w:ascii="楷体" w:hAnsi="楷体" w:eastAsia="楷体" w:cs="楷体"/>
        </w:rPr>
        <w:t>近年来，某地以全省中小城市基层党建试点县为契机，按照“15分钟党群服务圈”标准，将城区优化调整为15个城市社区、106个小区，每个社区建设1处党群服务中心，让党的组织和工作更加贴近群众；将人力资源、医保低保等80余项与群众生活密切相关的事项下沉社区，配备社工并提供“错时延时”服务，实现一站式办理；同时，积极开展线上服务，开发“麒麟云社区”便民服务平台，推行“居民下单、平台派单、公司接单”的服务模式，持续提升群众工作生活便捷度；在基础设施建设等重要事项上，通过召开群众议事会等形式，认真听取群众意见建议；每周在乡村振兴示范片区召开联建议事会，由村干部、村党组织书记、党员群众共商发展思路；组织社区、村里的“明白人”“热心人”参与基层矛盾纠纷化解，促进邻里和谐。</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t>结合材料，运用《政治与法治》的知识，阐述该地探索和完善基层社会治理机制的成功经验。</w:t>
      </w:r>
    </w:p>
    <w:tbl>
      <w:tblPr>
        <w:tblStyle w:val="5"/>
        <w:tblpPr w:leftFromText="180" w:rightFromText="180" w:vertAnchor="text" w:horzAnchor="page" w:tblpX="720"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rPr>
          <w:rFonts w:hint="eastAsia"/>
          <w:lang w:val="en-US" w:eastAsia="zh-CN"/>
        </w:rPr>
        <w:t>10</w:t>
      </w:r>
      <w:r>
        <w:t>．阅读材料，完成下列要求。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rPr>
          <w:rFonts w:ascii="楷体" w:hAnsi="楷体" w:eastAsia="楷体" w:cs="楷体"/>
        </w:rPr>
        <w:t>2024年中央一号文件明确提出，持续推进农村移风易俗。2024年2月，M村举行“推进移风易俗，树立文明新风”座谈会。会议围绕移风易俗重点领域问题，积极探讨移风易俗改进措施，摸底征询群众关于红白事操办规模、随礼标准等方面意见建议，有序推进该村下一步移风易俗工作开展。近年来，该村将“婚事新办”“丧事简办”“孝善敬老”等乡风文明内容纳入村规民约，进一步健全“一约四会”组织架构、工作职责及办事流程；根据正向激励、奖罚结合原则，依托积分超市兑换积分奖励，将无偿的文明行为转变为有形的积分值，营造了文明、和谐的社会氛围。</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t>结合材料，运用《政治与法治》的知识，说明该村在推进乡风文明建设中的有益尝试。</w:t>
      </w:r>
    </w:p>
    <w:tbl>
      <w:tblPr>
        <w:tblStyle w:val="5"/>
        <w:tblpPr w:leftFromText="180" w:rightFromText="180" w:vertAnchor="text" w:horzAnchor="page" w:tblpX="720"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rPr>
          <w:rFonts w:hint="eastAsia"/>
          <w:lang w:val="en-US" w:eastAsia="zh-CN"/>
        </w:rPr>
        <w:t>11</w:t>
      </w:r>
      <w:r>
        <w:t>．阅读材料，完成下列要求。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left"/>
        <w:textAlignment w:val="center"/>
      </w:pPr>
      <w:r>
        <w:rPr>
          <w:rFonts w:ascii="楷体" w:hAnsi="楷体" w:eastAsia="楷体" w:cs="楷体"/>
        </w:rPr>
        <w:t>“十三五”时期是宁夏决胜全面小康、决战脱贫攻坚的重要五年，在以习近平同志为核心的党中央坚强领导下，自治区各项事业发展取得了重大成就。经济实力持续增强，地区生产总值年均增长6％以上，超过4500亿元，实现了比2010年翻一番的目标，区域创新能力持续提升，新产业新业态新模式逐步兴起。脱贫攻坚如期摘帽，9个贫困县全部摘帽，1100个贫困村全部出列，62.4万农村贫困人口全部脱贫，实现“两不愁三保障”目标，西海固地区将彻底告别“苦瘠甲天下”的历史，闽宁对口帮扶成为全国东西部扶贫协作的典范。基础设施日益完善，一批水电路气讯等基础设施建成投运，宁夏人民圆了“高铁梦”，“三环四纵六横”高速公路网基本建成，硬化道路实现村村通，历史性地解决了300多万城乡居民安全饮水问题。民生水平大幅提升，居民收入比2010年翻了一番，在西部地区率先实现县域义务教育基本均衡发展，五级医疗卫生服务体系不断完善，城乡文化繁荣发展，社会保障体系覆盖城乡。社会治理成效显著，民族团结进步事业不断深化，宗教治理法治化水平明显提升，法治建设、平安建设水平进一步提高。宁夏的发展进步，是党中央坚强领导、重视支持的结果，是全区各族人民团结拼搏、接续奋斗的结果。</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t>结合材料，运用民族区域自治制度的知识，分析宁夏经济社会取得重大成就的原因。</w:t>
      </w:r>
    </w:p>
    <w:tbl>
      <w:tblPr>
        <w:tblStyle w:val="5"/>
        <w:tblpPr w:leftFromText="180" w:rightFromText="180" w:vertAnchor="text" w:horzAnchor="page" w:tblpX="720"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rPr>
          <w:rFonts w:hint="eastAsia"/>
          <w:lang w:val="en-US" w:eastAsia="zh-CN"/>
        </w:rPr>
        <w:t>12</w:t>
      </w:r>
      <w:r>
        <w:t>．</w:t>
      </w:r>
      <w:r>
        <w:rPr>
          <w:rFonts w:ascii="楷体" w:hAnsi="楷体" w:eastAsia="楷体" w:cs="楷体"/>
        </w:rPr>
        <w:t>上海贯彻党的二十大精神，通过“家站点”落实代表密切联系人民群众的工作：浦东新区人大将立法触角覆盖各重点区域、主要行业、相关人群，先后开展多场立法需求征集座谈会，听取托克投资、叮咚买菜、喜马拉雅等不同行业和企业的经营发展堵点及相关立法需求。崇明区长兴镇人大代表之家针对村民公共交通“出行难”，组织人大代表、基层干部、巴士公司相关负责人一起出谋划策，交通运行线网得到优化；中兴镇汲浜村人大代表联络站向镇人大提交书面意见，在较短时间内就架起一座便民桥，辐射周边带动文旅消费，也激发了该村的内生动力。</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t>根据上述材料，我们可以得出这样的结论：“家站点”密切了人大和人民群众的关系，调动了各方面积极性，彰显了集中力量办大事的显著优势。请运用人民代表大会制度的相关知识说明得出这一结论的理由。</w:t>
      </w:r>
    </w:p>
    <w:tbl>
      <w:tblPr>
        <w:tblStyle w:val="5"/>
        <w:tblpPr w:leftFromText="180" w:rightFromText="180" w:vertAnchor="text" w:horzAnchor="page" w:tblpX="720"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3" w:type="dxa"/>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rPr>
          <w:rFonts w:hint="eastAsia"/>
          <w:lang w:val="en-US" w:eastAsia="zh-CN"/>
        </w:rPr>
        <w:t>13</w:t>
      </w:r>
      <w:r>
        <w:t>．阅读材料，完成下列要求。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left"/>
        <w:textAlignment w:val="center"/>
      </w:pPr>
      <w:r>
        <w:rPr>
          <w:rFonts w:ascii="楷体" w:hAnsi="楷体" w:eastAsia="楷体" w:cs="楷体"/>
        </w:rPr>
        <w:t>爱国主义是中华民族精神的核心，是中国人民和中华民族同心同德、自强不息的精神纽带。党的二十大报告明确提出要深化爱国主义教育。</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jc w:val="left"/>
        <w:textAlignment w:val="center"/>
      </w:pPr>
      <w:r>
        <w:rPr>
          <w:rFonts w:ascii="楷体" w:hAnsi="楷体" w:eastAsia="楷体" w:cs="楷体"/>
        </w:rPr>
        <w:t>根据党中央批准的立法工作安排，中央宣传部和全国人大常委会法工委开展立法调研，多次召开座谈会听取各方的意见和建议，形成了《中华人民共和国爱国主义教育法（草案）》。该草案于2023年6月26日首次亮相，提请第十四届全国人大常务委员会第三次会议审议。6月28日向社会公布《中华人民共和国爱国主义教育法（草案）》并征求公众意见。10月24日第十四届全国人大常务委员会第六次会议审议通过《中华人民共和国爱国主义教育法》，并于2024年1月1日正式实施。</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left"/>
        <w:textAlignment w:val="center"/>
      </w:pPr>
      <w:r>
        <w:t>结合材料，运用《政治与法治》的知识，阐述在《中华人民共和国爱国主义教育法》的出台过程中是如何坚持人民当家作主的。</w:t>
      </w:r>
    </w:p>
    <w:tbl>
      <w:tblPr>
        <w:tblStyle w:val="5"/>
        <w:tblpPr w:leftFromText="180" w:rightFromText="180" w:vertAnchor="text" w:horzAnchor="page" w:tblpX="720"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3" w:type="dxa"/>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400" w:lineRule="exact"/>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0044E"/>
    <w:multiLevelType w:val="singleLevel"/>
    <w:tmpl w:val="E9A0044E"/>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39FD1EF2"/>
    <w:rsid w:val="110C44C3"/>
    <w:rsid w:val="39FD1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2024-04-02T09:33:00Z</dcterms:created>
  <dc:creator>yzzx</dc:creator>
  <cp:lastModifiedBy>yzzx</cp:lastModifiedBy>
  <dcterms:modified xsi:type="dcterms:W3CDTF">2024-04-02T10:47:14Z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5CC13494CB4B4BACB8972D28A6027AE1</vt:lpwstr>
  </property>
</Properties>
</file>