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练习（19）</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2024.1.13</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浙江省是民营经济大省。民营经济在支撑经济增长、促进创新、扩大就业、增加税收等方面具有重要作用。要支持民营企业发展，努力实现浙江省经济更高质量、更有效率、更加公平、更可持续地发展。下列举措能助力民营企业公平发展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①提升非公有制经济在国民经济中的主体地位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②取消不同所有制企业市场准入条件限制</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③推动不同性质企业平等地使用生产要素</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④推动不同性质企业公平地参与市场竞争</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C．③④</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近两年在疫情冲击影响下，中小微企业面临生产成本普遍上升，市场需求难以充分释放，发展困难明显增多等问题。为此，我国要坚定不移坚持“两个毫不动摇”，加大对受疫情冲击严重的中小微企业和个体工商户的纾困帮扶力度。这给我们的启示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①中小微企业是现代化经济体系的根基</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②要帮助非公有制经济提高市场竞争力</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③各种所有制经济使用同样的资源要素</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④要为促进非公有制经济发展营造良好环境</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．PPP模式即Public-Private-Partnership的字母缩写，是污水处理、垃圾焚烧、医院、学校等公共基础设施的一种项目融资模式，如下图所示。此模式(</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467100" cy="1181100"/>
            <wp:effectExtent l="0" t="0" r="0" b="0"/>
            <wp:docPr id="100003" name="图片 100003" descr="@@@bbf6eaaa4cdd4476bbdd4fe70509b1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bbf6eaaa4cdd4476bbdd4fe70509b19f"/>
                    <pic:cNvPicPr>
                      <a:picLocks noChangeAspect="1"/>
                    </pic:cNvPicPr>
                  </pic:nvPicPr>
                  <pic:blipFill>
                    <a:blip r:embed="rId5"/>
                    <a:stretch>
                      <a:fillRect/>
                    </a:stretch>
                  </pic:blipFill>
                  <pic:spPr>
                    <a:xfrm>
                      <a:off x="0" y="0"/>
                      <a:ext cx="3467100" cy="1181100"/>
                    </a:xfrm>
                    <a:prstGeom prst="rect">
                      <a:avLst/>
                    </a:prstGeom>
                  </pic:spPr>
                </pic:pic>
              </a:graphicData>
            </a:graphic>
          </wp:inline>
        </w:drawing>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①通过发展股份制以增强国有经济的控制力竞争力</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②旨在解决企业融资难问题以支持民营经济的发展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③可能会因项目投资回收周期长而影响企业的投资</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④有利于整合政府和民间资本以提高公共服务效率</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．当前，我国正在全面贯彻落实以增加知识价值为导向的收入分配政策，充分尊重科研、技术、管理人才，充分体现技术、知识、管理、数据等要素的价值。这一做法（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①体现了劳动者共同劳动、平等分配的社会地位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②是落实我国分配政策和制度的具体体现</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③实现了按劳分配与按生产要素分配的结合</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④有利于推动资源优化配置，促进经济发展</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．为配合学校开展“新中国成立70周年”展览，小华要为下侧图片写一篇报道，以下适合纳入报道内容的是（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152775" cy="2276475"/>
            <wp:effectExtent l="0" t="0" r="9525" b="9525"/>
            <wp:docPr id="100005" name="图片 100005" descr="@@@a01f85beb81743648a4c900c700f6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a01f85beb81743648a4c900c700f6a85"/>
                    <pic:cNvPicPr>
                      <a:picLocks noChangeAspect="1"/>
                    </pic:cNvPicPr>
                  </pic:nvPicPr>
                  <pic:blipFill>
                    <a:blip r:embed="rId6"/>
                    <a:stretch>
                      <a:fillRect/>
                    </a:stretch>
                  </pic:blipFill>
                  <pic:spPr>
                    <a:xfrm>
                      <a:off x="0" y="0"/>
                      <a:ext cx="3152775" cy="2276475"/>
                    </a:xfrm>
                    <a:prstGeom prst="rect">
                      <a:avLst/>
                    </a:prstGeom>
                  </pic:spPr>
                </pic:pic>
              </a:graphicData>
            </a:graphic>
          </wp:inline>
        </w:drawing>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①公有制经济和非公有制经济相辅相成，统一于社会主义现代化建设进程之中</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②发展壮大非公有制经济，发挥非公有制经济在社会主义市场经济中的主导作用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③公有制为主体、多种所有制经济共同发展与社会主义市场经济体制相结合发挥制度优势</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④坚持“两个毫不动摇”，保证各种所有制经济地位平等、权利平等、机会平等</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英国剑桥大学教授彼得•诺兰说：“我认为对于任何经济，尤其是对中国这样一个非常贫穷的面临许多问题的经济来说，这是一个明智合理的策略，而任由经济发展，不采取任何调控措施是不合理的，这样会给中国的工业化进程、人民的生活及福祉造成极大困难。我一直深信中国在五十年代早期以及七十年代后半期之后，选择了一条最适合自身发展的道路。”材料中说的“最适合自身发展的道路”指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tabs>
          <w:tab w:val="left" w:pos="4156"/>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A．推动国民经济的均衡发展</w:t>
      </w:r>
      <w:r>
        <w:rPr>
          <w:rFonts w:hint="eastAsia" w:ascii="宋体" w:hAnsi="宋体" w:eastAsia="宋体" w:cs="宋体"/>
          <w:sz w:val="21"/>
          <w:szCs w:val="21"/>
        </w:rPr>
        <w:tab/>
      </w:r>
      <w:r>
        <w:rPr>
          <w:rFonts w:hint="eastAsia" w:ascii="宋体" w:hAnsi="宋体" w:eastAsia="宋体" w:cs="宋体"/>
          <w:sz w:val="21"/>
          <w:szCs w:val="21"/>
        </w:rPr>
        <w:t>B．发挥政府对经济发展的作用</w:t>
      </w:r>
    </w:p>
    <w:p>
      <w:pPr>
        <w:shd w:val="clear" w:color="auto" w:fill="FFFFFF"/>
        <w:tabs>
          <w:tab w:val="left" w:pos="4156"/>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C．加强市场机制对经济发展的作用</w:t>
      </w:r>
      <w:r>
        <w:rPr>
          <w:rFonts w:hint="eastAsia" w:ascii="宋体" w:hAnsi="宋体" w:eastAsia="宋体" w:cs="宋体"/>
          <w:sz w:val="21"/>
          <w:szCs w:val="21"/>
        </w:rPr>
        <w:tab/>
      </w:r>
      <w:r>
        <w:rPr>
          <w:rFonts w:hint="eastAsia" w:ascii="宋体" w:hAnsi="宋体" w:eastAsia="宋体" w:cs="宋体"/>
          <w:sz w:val="21"/>
          <w:szCs w:val="21"/>
        </w:rPr>
        <w:t>D．融入经济全球化的浪潮</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2022年，国务院取消和调整了公安、交通运输、市场监管领域行政法规和部门规章设定的53个罚款事项，这些罚款事项主要集中在与企业和群众生产密切、社会关注度较高的领域，取消和调整的目的是切实减轻企业和群众负担，让企业和群众感受到实实在在的好处。国务院取消和调整罚款事项（</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①有利于推进“放管服”改革，优化营商环境</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②能够降低企业成本，提升企业盈利能力</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③体现我国社会主义市场经济体制的优势和基本特征</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④是社会主义市场经济体制根本目标的要求</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标价不清晰、计价不透明、事先不告知……近年来，被消费者称为“消费刺客”的一系列商家涉嫌价格违法违规行为不断出现，涉及日常生活消费的各种场景，如“雪糕刺客”“文具刺客”“理发刺客”“鲜花刺客”等。“消费刺客”频频出现（</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①侵犯了消费者的自主选择权</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②违反了公平交易的市场规则</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③是市场自发调节引发的问题</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④关键要通过完善法规来克服</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2022年8月1日，《上海市浦东新区推进市场准营承诺即入制改革若干规定》正式实施。市场准营承诺即入制改革是指一次性告知市场主体从事特定行业许可经营须具备的全部要求，符合条件的市场主体作出承诺并提交必要材料、即可取得行政许可，开门营业。但依法列入严重违法失信企业名单的市场主体，不得适用市场准营承诺即入方式。该《规定》的实施旨在（</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①不断提升企业满意度，让改革红利惠及更多诚信企业</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②引导企业自律，营造守信受益、失信受限的营商环境</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③打造线上线下一体化智能申办系统，提升办事效率</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④通过市场监管规范市场秩序，保障公平竞争氛围</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2020年3月，《中共中央国务院关于构建更加完善的要素市场化配置体制机制的意见》明确了土地、劳动力、资本、技术、数据等五个要素领域的改革方向，要求畅通要素流动渠道，保障不同市场主体平等获取生产要素,推动要素配置依据市场规则、市场价格、市场竞争实现效益最大化和效率最优化。这一改革意在（</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①发挥政府主导资源配置作用，激发要素市场的活力</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②完善要素自由流动的体制机制，全面放开要素市场</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③充分发挥市场的决定性作用，提高要素的配置效率</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④营造良好的营商环境，让创造创新的源泉充分涌流</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农业保险是分散农业生产经营风险的重要手段。2021年,我国农险保费规模为965.18亿元,同比增长18.4%。以国际经验法测算，我国农险保费规模于2025年将超过1600亿元。2035年达到6000亿元至10000亿元。推动我国农业保险保费规模持续增加的因素有（</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①农民安全意识增强.保险需求潜力逐步释放</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②社会保障实现兜底覆盖,投保人口基数巨大</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③国家加大保费补贴力度，降低农民农险负担</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④农险拓宽农民收入来源,调动农民投保热情</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．要解决下图漫画反映的问题，你认为国家应采取的措施是（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2619375" cy="1628775"/>
            <wp:effectExtent l="0" t="0" r="9525" b="9525"/>
            <wp:docPr id="100007" name="图片 100007" descr="@@@72671d6c-b091-44e4-b04c-acff391da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72671d6c-b091-44e4-b04c-acff391da726"/>
                    <pic:cNvPicPr>
                      <a:picLocks noChangeAspect="1"/>
                    </pic:cNvPicPr>
                  </pic:nvPicPr>
                  <pic:blipFill>
                    <a:blip r:embed="rId7"/>
                    <a:stretch>
                      <a:fillRect/>
                    </a:stretch>
                  </pic:blipFill>
                  <pic:spPr>
                    <a:xfrm>
                      <a:off x="0" y="0"/>
                      <a:ext cx="2619375" cy="1628775"/>
                    </a:xfrm>
                    <a:prstGeom prst="rect">
                      <a:avLst/>
                    </a:prstGeom>
                  </pic:spPr>
                </pic:pic>
              </a:graphicData>
            </a:graphic>
          </wp:inline>
        </w:drawing>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①调节收入分配，努力促进社会公平</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②坚持共同富裕，统筹城乡协调发展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③引入城乡竞争机制，实现优胜劣汰</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④抵制市民收入，扶持村民收入增加</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2022年9月2日，国务院发布的《国务院关于支持山东深化新旧动能转换推动绿色低碳高质量发展的意见》指出，支持山东在深化新旧动能转换基础上，着力探索转型发展之路，进一步增强区域发展活力动力，加快推动绿色低碳高质量发展。下列措施能体现出新旧动能转换的是（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①降碳提质并举，改造提升传统产业</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②降低企业经营成本，实施减费降税等货币政策</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③创新驱动发展，培育战略性新兴产业集群</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④建设全能型政府，全面优化营商环境</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两不愁”就是稳定实现农村贫困人口“不愁吃、不愁穿”；“三保障”就是保障其义务教育、基本医疗和住房安全，是农村贫困人口脱贫的基本要求和核心指标。2021年2月25日，中国脱贫攻坚战取得了全面胜利，完成了消除绝对贫困的艰巨任务，“两不愁、三保障”全面实现。下列解决“两不愁、三保障”问题的的措施中，不属于再分配环节的有效举措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①完善社会保障制度，发挥社保兜底作用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②中央财政加大对贫困地区、贫困人口的转移支付</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③提高劳动者收入在国民收入中的比重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④提高最低工资标准，建立工资正常增长机制</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正像达尔文发现有机界的发展规律一样，马克思发现了人类历史的发展规律，即历来为繁茂芜杂的意识形态所掩盖着的一个简单事实：人们首先必须吃、喝、住、穿，然后才能从事政治、科学、艺术、宗教等等。这段话蕴含的道理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tabs>
          <w:tab w:val="left" w:pos="4156"/>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A．人类历史的演变过程与政治和宗教是无关的</w:t>
      </w:r>
      <w:r>
        <w:rPr>
          <w:rFonts w:hint="eastAsia" w:ascii="宋体" w:hAnsi="宋体" w:eastAsia="宋体" w:cs="宋体"/>
          <w:sz w:val="21"/>
          <w:szCs w:val="21"/>
        </w:rPr>
        <w:tab/>
      </w:r>
      <w:r>
        <w:rPr>
          <w:rFonts w:hint="eastAsia" w:ascii="宋体" w:hAnsi="宋体" w:eastAsia="宋体" w:cs="宋体"/>
          <w:sz w:val="21"/>
          <w:szCs w:val="21"/>
        </w:rPr>
        <w:t>B．生产力与生产关系的矛盾运动推动社会更替</w:t>
      </w:r>
    </w:p>
    <w:p>
      <w:pPr>
        <w:shd w:val="clear" w:color="auto" w:fill="FFFFFF"/>
        <w:tabs>
          <w:tab w:val="left" w:pos="4156"/>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C．物质资料生产是人类社会存在和发展的基础</w:t>
      </w:r>
      <w:r>
        <w:rPr>
          <w:rFonts w:hint="eastAsia" w:ascii="宋体" w:hAnsi="宋体" w:eastAsia="宋体" w:cs="宋体"/>
          <w:sz w:val="21"/>
          <w:szCs w:val="21"/>
        </w:rPr>
        <w:tab/>
      </w:r>
      <w:r>
        <w:rPr>
          <w:rFonts w:hint="eastAsia" w:ascii="宋体" w:hAnsi="宋体" w:eastAsia="宋体" w:cs="宋体"/>
          <w:sz w:val="21"/>
          <w:szCs w:val="21"/>
        </w:rPr>
        <w:t>D．生产资料所有制决定社会的性质和发展方向</w:t>
      </w:r>
    </w:p>
    <w:p>
      <w:pPr>
        <w:shd w:val="clear" w:color="auto" w:fill="FFFFFF"/>
        <w:spacing w:line="360" w:lineRule="auto"/>
        <w:jc w:val="left"/>
        <w:textAlignment w:val="center"/>
        <w:rPr>
          <w:u w:val="none"/>
        </w:rPr>
      </w:pPr>
      <w:r>
        <w:rPr>
          <w:rFonts w:hint="eastAsia"/>
          <w:u w:val="none"/>
          <w:lang w:val="en-US" w:eastAsia="zh-CN"/>
        </w:rPr>
        <w:t>16</w:t>
      </w:r>
      <w:r>
        <w:rPr>
          <w:u w:val="none"/>
        </w:rPr>
        <w:t>．阅读材料，回答问题。</w:t>
      </w:r>
    </w:p>
    <w:p>
      <w:pPr>
        <w:shd w:val="clear" w:color="auto" w:fill="FFFFFF"/>
        <w:spacing w:line="360" w:lineRule="auto"/>
        <w:ind w:firstLine="420"/>
        <w:jc w:val="left"/>
        <w:textAlignment w:val="center"/>
      </w:pPr>
      <w:r>
        <w:rPr>
          <w:rFonts w:ascii="楷体" w:hAnsi="楷体" w:eastAsia="楷体" w:cs="楷体"/>
        </w:rPr>
        <w:t>长三角一体化发展涵盖上海、江苏、浙江、安徽三省一市，是我国经济发展最活跃、开放程度最高、创新能力最强的区域之一，在国家现代化建设大局和全方位开放格局中具有举足轻重的战略地位。</w:t>
      </w:r>
    </w:p>
    <w:p>
      <w:pPr>
        <w:shd w:val="clear" w:color="auto" w:fill="FFFFFF"/>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长三角一市三省上半年经济发展成绩单陆续出炉：上海生产总值增长处于历史高位、江苏首破6万亿元大关、浙江传统制造业回暖、安徽“新三样”表现优秀……作为中国经济重要增长极，长三角正引领中国经济高质量发展。上半年，长三角经济复苏明显提速，多地经济指标创历史新高，增速高于全国平均水平。</w:t>
      </w:r>
    </w:p>
    <w:p>
      <w:pPr>
        <w:numPr>
          <w:ilvl w:val="0"/>
          <w:numId w:val="1"/>
        </w:numPr>
        <w:shd w:val="clear" w:color="auto" w:fill="FFFFFF"/>
        <w:spacing w:line="360" w:lineRule="auto"/>
        <w:jc w:val="left"/>
        <w:textAlignment w:val="center"/>
      </w:pPr>
      <w:bookmarkStart w:id="0" w:name="_GoBack"/>
      <w:r>
        <w:t>结</w:t>
      </w:r>
      <w:bookmarkEnd w:id="0"/>
      <w:r>
        <w:t>合材料，运用中国特色社会主义的知识分析长三角经济发展取得成绩的根本原因。</w:t>
      </w:r>
      <w:r>
        <w:rPr>
          <w:rFonts w:hint="eastAsia"/>
          <w:lang w:eastAsia="zh-CN"/>
        </w:rPr>
        <w:t>（</w:t>
      </w:r>
      <w:r>
        <w:rPr>
          <w:rFonts w:hint="eastAsia"/>
          <w:lang w:val="en-US" w:eastAsia="zh-CN"/>
        </w:rPr>
        <w:t>6分</w:t>
      </w:r>
      <w:r>
        <w:rPr>
          <w:rFonts w:hint="eastAsia"/>
          <w:lang w:eastAsia="zh-CN"/>
        </w:rPr>
        <w:t>）</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shd w:val="clear" w:color="auto" w:fill="FFFFFF"/>
        <w:spacing w:line="36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民营经济壮大是经济恢复的重要风向标之一。作为民营经济大省，上半年浙江省民营经济发展提速；江苏省民营工业支撑有力，百强企业贡献突出；在上海，民营经济也大显身手。2023年9月召开的中国民营经济发展大会以“加力优化营商环境，提振民企发展信心”为主题，积极响应国家政策，围绕民营经济改革创新、政策解读、企业家精神、民企风采等多个维度展示民营经济成就，共谋民营经济发展壮大。</w:t>
      </w:r>
    </w:p>
    <w:p>
      <w:pPr>
        <w:shd w:val="clear" w:color="auto" w:fill="FFFFFF"/>
        <w:spacing w:line="360" w:lineRule="auto"/>
        <w:jc w:val="left"/>
        <w:textAlignment w:val="center"/>
        <w:rPr>
          <w:rFonts w:hint="eastAsia" w:eastAsia="宋体"/>
          <w:lang w:eastAsia="zh-CN"/>
        </w:rPr>
      </w:pPr>
      <w:r>
        <w:t>(2)请你结合材料，运用所学知识就如何促进民营经济发展壮大为政府提几点建议(至少3点)。</w:t>
      </w:r>
      <w:r>
        <w:rPr>
          <w:rFonts w:hint="eastAsia"/>
          <w:lang w:eastAsia="zh-CN"/>
        </w:rPr>
        <w:t>（</w:t>
      </w:r>
      <w:r>
        <w:rPr>
          <w:rFonts w:hint="eastAsia"/>
          <w:lang w:val="en-US" w:eastAsia="zh-CN"/>
        </w:rPr>
        <w:t>9分</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D747A"/>
    <w:multiLevelType w:val="singleLevel"/>
    <w:tmpl w:val="577D74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537da48a-dbef-4cb3-b8ae-b34a978d3cd7"/>
  </w:docVars>
  <w:rsids>
    <w:rsidRoot w:val="00000000"/>
    <w:rsid w:val="0261337B"/>
    <w:rsid w:val="0350276E"/>
    <w:rsid w:val="072233BC"/>
    <w:rsid w:val="26636216"/>
    <w:rsid w:val="268E7B3E"/>
    <w:rsid w:val="28086A7F"/>
    <w:rsid w:val="34074D73"/>
    <w:rsid w:val="37A8746B"/>
    <w:rsid w:val="3A6A39CC"/>
    <w:rsid w:val="50CE28EE"/>
    <w:rsid w:val="515F472B"/>
    <w:rsid w:val="51CD0616"/>
    <w:rsid w:val="5518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3616</Words>
  <Characters>3781</Characters>
  <Lines>0</Lines>
  <Paragraphs>0</Paragraphs>
  <TotalTime>2</TotalTime>
  <ScaleCrop>false</ScaleCrop>
  <LinksUpToDate>false</LinksUpToDate>
  <CharactersWithSpaces>5119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2024-01-09T01:19:33Z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803757F0B4E94F9C8FB24BD8EBD15CB3_12</vt:lpwstr>
  </property>
</Properties>
</file>