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练习（14）</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2023.12.10</w:t>
      </w:r>
      <w:bookmarkStart w:id="0" w:name="_GoBack"/>
      <w:bookmarkEnd w:id="0"/>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shd w:val="clear" w:color="auto" w:fill="FFFFFF"/>
        <w:spacing w:line="360" w:lineRule="auto"/>
        <w:jc w:val="left"/>
        <w:textAlignment w:val="center"/>
      </w:pPr>
      <w:r>
        <w:t>1．党的十一届六中全会认为，我国社会的主要矛盾是人民日益增长的物质文化需要同落后的社会生产之间的矛盾；党的十九大指出，我国社会主要矛盾已经转化为人民日益增长的美好生活需要和不平衡不充分的发展之间的矛盾。这一变化主要是基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①我国社会生产力水平总体上显著提高，但发展不平衡不充分</w:t>
      </w:r>
    </w:p>
    <w:p>
      <w:pPr>
        <w:shd w:val="clear" w:color="auto" w:fill="FFFFFF"/>
        <w:spacing w:line="360" w:lineRule="auto"/>
        <w:jc w:val="left"/>
        <w:textAlignment w:val="center"/>
      </w:pPr>
      <w:r>
        <w:t>②我国仍处于并将长期处于社会主义初级阶段的基本国情没有变</w:t>
      </w:r>
    </w:p>
    <w:p>
      <w:pPr>
        <w:shd w:val="clear" w:color="auto" w:fill="FFFFFF"/>
        <w:spacing w:line="360" w:lineRule="auto"/>
        <w:jc w:val="left"/>
        <w:textAlignment w:val="center"/>
      </w:pPr>
      <w:r>
        <w:t>③我国稳定解决了十几亿人的温饱问题，总体上实现小康，人民美好生活需要日益广泛</w:t>
      </w:r>
    </w:p>
    <w:p>
      <w:pPr>
        <w:shd w:val="clear" w:color="auto" w:fill="FFFFFF"/>
        <w:spacing w:line="360" w:lineRule="auto"/>
        <w:jc w:val="left"/>
        <w:textAlignment w:val="center"/>
      </w:pPr>
      <w:r>
        <w:t>④我国是世界最大发展中国家的国际地位没有变</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2．自2023年4月1日起，北京市、天津市、河北省各统筹区参保人员持社会保障卡或医保电子凭证在京津冀区域内所有定点医药机构住院、普通门诊就医购药等，均视同办理了异地就医备案手续，可直接享受医保报销待遇。这一举措（</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①旨在刺激医疗消费，扩大药品企业利润</w:t>
      </w:r>
    </w:p>
    <w:p>
      <w:pPr>
        <w:shd w:val="clear" w:color="auto" w:fill="FFFFFF"/>
        <w:spacing w:line="360" w:lineRule="auto"/>
        <w:jc w:val="left"/>
        <w:textAlignment w:val="center"/>
      </w:pPr>
      <w:r>
        <w:t>②让参保人员更便捷地享受医疗服务</w:t>
      </w:r>
    </w:p>
    <w:p>
      <w:pPr>
        <w:shd w:val="clear" w:color="auto" w:fill="FFFFFF"/>
        <w:spacing w:line="360" w:lineRule="auto"/>
        <w:jc w:val="left"/>
        <w:textAlignment w:val="center"/>
      </w:pPr>
      <w:r>
        <w:t>③防范和化解了社会成员的生存危机</w:t>
      </w:r>
    </w:p>
    <w:p>
      <w:pPr>
        <w:shd w:val="clear" w:color="auto" w:fill="FFFFFF"/>
        <w:spacing w:line="360" w:lineRule="auto"/>
        <w:jc w:val="left"/>
        <w:textAlignment w:val="center"/>
      </w:pPr>
      <w:r>
        <w:t>④从居民实际出发优化异地就医服务</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3．过去的三年是国企改革三年行动实施之年，国企改革全面覆盖，多点突破，钢铁、军工、稀土等多个领域专业化整合提速，涌现出多个具有代表性的重组和混改案例。推动国企改革旨在（</w:t>
      </w:r>
      <w:r>
        <w:rPr>
          <w:rFonts w:ascii="Times New Roman" w:hAnsi="Times New Roman" w:eastAsia="Times New Roman" w:cs="Times New Roman"/>
          <w:kern w:val="0"/>
          <w:sz w:val="24"/>
          <w:szCs w:val="24"/>
        </w:rPr>
        <w:t>   </w:t>
      </w:r>
      <w:r>
        <w:t>）</w:t>
      </w:r>
    </w:p>
    <w:p>
      <w:pPr>
        <w:shd w:val="clear" w:color="auto" w:fill="FFFFFF"/>
        <w:tabs>
          <w:tab w:val="left" w:pos="4156"/>
        </w:tabs>
        <w:spacing w:line="360" w:lineRule="auto"/>
        <w:ind w:left="380"/>
        <w:jc w:val="left"/>
        <w:textAlignment w:val="center"/>
      </w:pPr>
      <w:r>
        <w:t>A．推动国企规模稳步扩大与增多</w:t>
      </w:r>
      <w:r>
        <w:tab/>
      </w:r>
      <w:r>
        <w:t>B．保障各种所有制经济的平等地位</w:t>
      </w:r>
    </w:p>
    <w:p>
      <w:pPr>
        <w:shd w:val="clear" w:color="auto" w:fill="FFFFFF"/>
        <w:tabs>
          <w:tab w:val="left" w:pos="4156"/>
        </w:tabs>
        <w:spacing w:line="360" w:lineRule="auto"/>
        <w:ind w:left="380"/>
        <w:jc w:val="left"/>
        <w:textAlignment w:val="center"/>
      </w:pPr>
      <w:r>
        <w:t>C．降低企业经营风险</w:t>
      </w:r>
      <w:r>
        <w:tab/>
      </w:r>
      <w:r>
        <w:t>D．增强国有经济的主导作用</w:t>
      </w:r>
    </w:p>
    <w:p>
      <w:pPr>
        <w:shd w:val="clear" w:color="auto" w:fill="FFFFFF"/>
        <w:spacing w:line="360" w:lineRule="auto"/>
        <w:jc w:val="left"/>
        <w:textAlignment w:val="center"/>
      </w:pPr>
      <w:r>
        <w:t>4．9月12日全国工商联发布的“2023中国民营企业500强”榜单和《2023中国民营企业500强调研分析报告》显示，民营企业500强入围门槛达275.78亿元，比上年增加12.11亿元，我国民营经济的地位和实力获得了迅猛提升。实现民营经济健康、高质量发展（</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①需要企业加强对市场的监管，创造公平的市场竞争环境</w:t>
      </w:r>
    </w:p>
    <w:p>
      <w:pPr>
        <w:shd w:val="clear" w:color="auto" w:fill="FFFFFF"/>
        <w:spacing w:line="360" w:lineRule="auto"/>
        <w:jc w:val="left"/>
        <w:textAlignment w:val="center"/>
      </w:pPr>
      <w:r>
        <w:t>②需要企业家爱国敬业，守法、诚信经营，积极承担责任</w:t>
      </w:r>
    </w:p>
    <w:p>
      <w:pPr>
        <w:shd w:val="clear" w:color="auto" w:fill="FFFFFF"/>
        <w:spacing w:line="360" w:lineRule="auto"/>
        <w:jc w:val="left"/>
        <w:textAlignment w:val="center"/>
      </w:pPr>
      <w:r>
        <w:t>③需要国家营造支持非公有制经济高质量发展的制度环境</w:t>
      </w:r>
    </w:p>
    <w:p>
      <w:pPr>
        <w:shd w:val="clear" w:color="auto" w:fill="FFFFFF"/>
        <w:spacing w:line="360" w:lineRule="auto"/>
        <w:jc w:val="left"/>
        <w:textAlignment w:val="center"/>
      </w:pPr>
      <w:r>
        <w:t>④需要国家完善管理机制，提高生产技术水平和研发能力</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5．10月11日，中国汽车协会公布的数据显示，9月我国新能源汽车产销分别完成87.9万辆和90.4万辆，同比分别增长16.1%和27.7%，市场占有率达到31.6%。预计 2023年，我国智能网联汽车产业规模将达到3960亿元，智能网联汽车产业正进入关键时期，对此，汽车企业应（</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①强化税费优惠支持政策以激发活力</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 xml:space="preserve">②提高创新研发投入以确保效益提高     </w:t>
      </w:r>
    </w:p>
    <w:p>
      <w:pPr>
        <w:shd w:val="clear" w:color="auto" w:fill="FFFFFF"/>
        <w:spacing w:line="360" w:lineRule="auto"/>
        <w:jc w:val="left"/>
        <w:textAlignment w:val="center"/>
      </w:pPr>
      <w:r>
        <w:t>③顺应市场发展转型升级，制定正确的经营战略</w:t>
      </w:r>
    </w:p>
    <w:p>
      <w:pPr>
        <w:shd w:val="clear" w:color="auto" w:fill="FFFFFF"/>
        <w:spacing w:line="360" w:lineRule="auto"/>
        <w:jc w:val="left"/>
        <w:textAlignment w:val="center"/>
      </w:pPr>
      <w:r>
        <w:t>④坚持自主创新，形成竞争优势，以质量铸品牌</w:t>
      </w:r>
    </w:p>
    <w:p>
      <w:pPr>
        <w:shd w:val="clear" w:color="auto" w:fill="FFFFFF"/>
        <w:tabs>
          <w:tab w:val="left" w:pos="2078"/>
          <w:tab w:val="left" w:pos="4156"/>
          <w:tab w:val="left" w:pos="6234"/>
        </w:tabs>
        <w:spacing w:line="360" w:lineRule="auto"/>
        <w:ind w:left="380"/>
        <w:jc w:val="left"/>
        <w:textAlignment w:val="center"/>
      </w:pPr>
      <w:r>
        <w:t>A．①②</w:t>
      </w:r>
      <w:r>
        <w:tab/>
      </w:r>
      <w:r>
        <w:t>B．③④</w:t>
      </w:r>
      <w:r>
        <w:tab/>
      </w:r>
      <w:r>
        <w:t>C．①④</w:t>
      </w:r>
      <w:r>
        <w:tab/>
      </w:r>
      <w:r>
        <w:t>D．②③</w:t>
      </w:r>
    </w:p>
    <w:p>
      <w:pPr>
        <w:shd w:val="clear" w:color="auto" w:fill="FFFFFF"/>
        <w:spacing w:line="360" w:lineRule="auto"/>
        <w:jc w:val="left"/>
        <w:textAlignment w:val="center"/>
      </w:pPr>
      <w:r>
        <w:t>6．基于当前中国数据中心的布局还存在一定程度的供需失衡问题，东部地区应用需求大，但能耗指标紧张、电力成本高，大规模发展数据中心难度和局限性大；一些西部地区可再生能源丰富，气候适宜，但存在网络带宽小、跨省数据传输费用高等问题。2022年2月，国家发改委等部门完成全国一体化大数据中心体系总体布局设计，正式全面启动“东数西算”工程，把东部的数据流动到西部存储、计算。“东数西算”工程的实施（</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①通过市场打通了东西部数字经济大动脉，构建数字经济新版图</w:t>
      </w:r>
    </w:p>
    <w:p>
      <w:pPr>
        <w:shd w:val="clear" w:color="auto" w:fill="FFFFFF"/>
        <w:spacing w:line="360" w:lineRule="auto"/>
        <w:jc w:val="left"/>
        <w:textAlignment w:val="center"/>
      </w:pPr>
      <w:r>
        <w:t>②通过加强市场监管，建设东西部统一数字经济大市场</w:t>
      </w:r>
    </w:p>
    <w:p>
      <w:pPr>
        <w:shd w:val="clear" w:color="auto" w:fill="FFFFFF"/>
        <w:spacing w:line="360" w:lineRule="auto"/>
        <w:jc w:val="left"/>
        <w:textAlignment w:val="center"/>
      </w:pPr>
      <w:r>
        <w:t>③引导数字产业绿色发展，推进东西部经济协调发展</w:t>
      </w:r>
    </w:p>
    <w:p>
      <w:pPr>
        <w:shd w:val="clear" w:color="auto" w:fill="FFFFFF"/>
        <w:spacing w:line="360" w:lineRule="auto"/>
        <w:jc w:val="left"/>
        <w:textAlignment w:val="center"/>
      </w:pPr>
      <w:r>
        <w:t>④充分发挥区域比较优势，共享数字经济发展红利</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7．“太阳光金亮亮，雄鸡唱三唱，花儿醒来了，鸟儿忙梳妆……要学喜鹊造新房，要学蜜蜂采蜜糖，劳动的快乐说不尽，劳动的创造最光荣。”这首《劳动最光荣》的儿歌是几代中国孩子难以忘却的童年记忆，也是引导他们会劳动、爱劳动的最初记忆。2022年秋季开学起劳动课正式升级为中小学的一门独立课程。倡导劳动、重视劳动（</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①是因为劳动是物质财富的源泉</w:t>
      </w:r>
    </w:p>
    <w:p>
      <w:pPr>
        <w:shd w:val="clear" w:color="auto" w:fill="FFFFFF"/>
        <w:spacing w:line="360" w:lineRule="auto"/>
        <w:jc w:val="left"/>
        <w:textAlignment w:val="center"/>
      </w:pPr>
      <w:r>
        <w:t>②有利于促进中小学生全面发展</w:t>
      </w:r>
    </w:p>
    <w:p>
      <w:pPr>
        <w:shd w:val="clear" w:color="auto" w:fill="FFFFFF"/>
        <w:spacing w:line="360" w:lineRule="auto"/>
        <w:jc w:val="left"/>
        <w:textAlignment w:val="center"/>
      </w:pPr>
      <w:r>
        <w:t>③是基于劳动是生产关系的核心</w:t>
      </w:r>
    </w:p>
    <w:p>
      <w:pPr>
        <w:shd w:val="clear" w:color="auto" w:fill="FFFFFF"/>
        <w:spacing w:line="360" w:lineRule="auto"/>
        <w:jc w:val="left"/>
        <w:textAlignment w:val="center"/>
      </w:pPr>
      <w:r>
        <w:t>④是实现共同富裕的基本前提</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8．2023年4月10日，湖南省民营企业服务月启动仪式在长沙举行，现场发布了支持民营企业发展九条措施。这九条措施，包括强化惠企政策落地直达、结对助力民企便捷办事、支持创业孵化加强民企培育、搭建线上线下招聘服务平台、推动“温暖社保”走进民企、强化民企人才激励评价、帮助民企培养培训技能人才、促进民企劳动关系和谐和提升政务服务水平。湖南省这样做的原因在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①民营经济是社会主义市场经济的重要组成部分</w:t>
      </w:r>
    </w:p>
    <w:p>
      <w:pPr>
        <w:shd w:val="clear" w:color="auto" w:fill="FFFFFF"/>
        <w:spacing w:line="360" w:lineRule="auto"/>
        <w:jc w:val="left"/>
        <w:textAlignment w:val="center"/>
      </w:pPr>
      <w:r>
        <w:t>②民营经济在我国国民经济中展现出强劲的发展韧性</w:t>
      </w:r>
    </w:p>
    <w:p>
      <w:pPr>
        <w:shd w:val="clear" w:color="auto" w:fill="FFFFFF"/>
        <w:spacing w:line="360" w:lineRule="auto"/>
        <w:jc w:val="left"/>
        <w:textAlignment w:val="center"/>
      </w:pPr>
      <w:r>
        <w:t>③民营经济成为了中国特色社会主义的重要物质基础和政治基础</w:t>
      </w:r>
    </w:p>
    <w:p>
      <w:pPr>
        <w:shd w:val="clear" w:color="auto" w:fill="FFFFFF"/>
        <w:spacing w:line="360" w:lineRule="auto"/>
        <w:jc w:val="left"/>
        <w:textAlignment w:val="center"/>
      </w:pPr>
      <w:r>
        <w:t>④民营经济在稳定居民就业方面具有重要作用</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9．在社会主义市场经济条件下规范和引导资本发展，既是一个重大经济问题，也是一个重大政治问题。现阶段，我国存在国有资本、集体资本、民营资本、外国资本、混合资本等各种形态资本，并呈现出规模显著增加、主体更加多元等明显特征。由此可见，在现阶段各种所有制经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①都是社会主义初级阶段经济制度的根本特征</w:t>
      </w:r>
    </w:p>
    <w:p>
      <w:pPr>
        <w:shd w:val="clear" w:color="auto" w:fill="FFFFFF"/>
        <w:spacing w:line="360" w:lineRule="auto"/>
        <w:jc w:val="left"/>
        <w:textAlignment w:val="center"/>
      </w:pPr>
      <w:r>
        <w:t>②都是社会主义市场经济的组成部分</w:t>
      </w:r>
    </w:p>
    <w:p>
      <w:pPr>
        <w:shd w:val="clear" w:color="auto" w:fill="FFFFFF"/>
        <w:spacing w:line="360" w:lineRule="auto"/>
        <w:jc w:val="left"/>
        <w:textAlignment w:val="center"/>
      </w:pPr>
      <w:r>
        <w:t>③共同推动我国经济持续健康发展</w:t>
      </w:r>
    </w:p>
    <w:p>
      <w:pPr>
        <w:shd w:val="clear" w:color="auto" w:fill="FFFFFF"/>
        <w:spacing w:line="360" w:lineRule="auto"/>
        <w:jc w:val="left"/>
        <w:textAlignment w:val="center"/>
      </w:pPr>
      <w:r>
        <w:t>④共同决定我国经济社会基本性质</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C．②③</w:t>
      </w:r>
      <w:r>
        <w:tab/>
      </w:r>
      <w:r>
        <w:t>D．②④</w:t>
      </w:r>
    </w:p>
    <w:p>
      <w:pPr>
        <w:shd w:val="clear" w:color="auto" w:fill="FFFFFF"/>
        <w:spacing w:line="360" w:lineRule="auto"/>
        <w:jc w:val="left"/>
        <w:textAlignment w:val="center"/>
      </w:pPr>
      <w:r>
        <w:rPr>
          <w:rFonts w:hint="eastAsia"/>
          <w:lang w:val="en-US" w:eastAsia="zh-CN"/>
        </w:rPr>
        <w:t>1</w:t>
      </w:r>
      <w:r>
        <w:t>0．2022年1月19日，国务院新闻办公室举行新闻发布会，介绍2021年中央企业实现营业收入36.3万亿元，实现净利润1.8万亿元，同比增长29.8%，均创下历史最高水平；国资委发布推荐178项央企科技创新成果，科技人才队伍不断壮大；49家央企、34家地方国企入围世界500强排行榜；疫情防控、冬奥彰显企业担当；部署“双碳”目标路径，国企央企在绿色发展中发挥战略支撑作用……国有企业（</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①作为“领头雁”，立足社会责任引领行业高质量发展，始终把社会效益放在首位</w:t>
      </w:r>
    </w:p>
    <w:p>
      <w:pPr>
        <w:shd w:val="clear" w:color="auto" w:fill="FFFFFF"/>
        <w:spacing w:line="360" w:lineRule="auto"/>
        <w:jc w:val="left"/>
        <w:textAlignment w:val="center"/>
      </w:pPr>
      <w:r>
        <w:t>②作为“顶梁柱”，是国有经济最主要的实现形式，对经济发展起着主导作用，在做大做强做优中控制国民经济的命脉</w:t>
      </w:r>
    </w:p>
    <w:p>
      <w:pPr>
        <w:shd w:val="clear" w:color="auto" w:fill="FFFFFF"/>
        <w:spacing w:line="360" w:lineRule="auto"/>
        <w:jc w:val="left"/>
        <w:textAlignment w:val="center"/>
      </w:pPr>
      <w:r>
        <w:t>③作为“压舱石”，要保持在社会总资产中占优势才能抵御风险</w:t>
      </w:r>
    </w:p>
    <w:p>
      <w:pPr>
        <w:shd w:val="clear" w:color="auto" w:fill="FFFFFF"/>
        <w:spacing w:line="360" w:lineRule="auto"/>
        <w:jc w:val="left"/>
        <w:textAlignment w:val="center"/>
      </w:pPr>
      <w:r>
        <w:t>④作为“主力军”，筑牢了中国特色社会主义物质基础和政治基础，是我们党执政兴国的重要支柱和依靠力量</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rPr>
          <w:rFonts w:hint="eastAsia"/>
          <w:lang w:val="en-US" w:eastAsia="zh-CN"/>
        </w:rPr>
        <w:t>1</w:t>
      </w:r>
      <w:r>
        <w:t>1．宁夏通过统筹地区排污权改革，建立全区统一交易平台，推动“降污增益”。某企业先通过竞标从政府购买排污权，按照正常生产最大排放后，将节余排放量协议转让，并在宁夏公共资源交易平台拍卖，最终为8家企业解决了排污问题。该企业将转让后得到的红利用于技术改造，完善环保设施，减少排污。这说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①建立排污权交易平台拍卖机制，推动企业绿色发展</w:t>
      </w:r>
    </w:p>
    <w:p>
      <w:pPr>
        <w:shd w:val="clear" w:color="auto" w:fill="FFFFFF"/>
        <w:spacing w:line="360" w:lineRule="auto"/>
        <w:jc w:val="left"/>
        <w:textAlignment w:val="center"/>
      </w:pPr>
      <w:r>
        <w:t>②排污权的市场需求量决定了其拍卖价格的高低</w:t>
      </w:r>
    </w:p>
    <w:p>
      <w:pPr>
        <w:shd w:val="clear" w:color="auto" w:fill="FFFFFF"/>
        <w:spacing w:line="360" w:lineRule="auto"/>
        <w:jc w:val="left"/>
        <w:textAlignment w:val="center"/>
      </w:pPr>
      <w:r>
        <w:t>③政府实施区域政策和环境政策，实现宏观调控的首要目标</w:t>
      </w:r>
    </w:p>
    <w:p>
      <w:pPr>
        <w:shd w:val="clear" w:color="auto" w:fill="FFFFFF"/>
        <w:spacing w:line="360" w:lineRule="auto"/>
        <w:jc w:val="left"/>
        <w:textAlignment w:val="center"/>
      </w:pPr>
      <w:r>
        <w:t>④通过“谁排污谁付费，谁减排谁受益”的机制，利于减少排污</w:t>
      </w:r>
    </w:p>
    <w:p>
      <w:pPr>
        <w:shd w:val="clear" w:color="auto" w:fill="FFFFFF"/>
        <w:tabs>
          <w:tab w:val="left" w:pos="2078"/>
          <w:tab w:val="left" w:pos="4156"/>
          <w:tab w:val="left" w:pos="6234"/>
        </w:tabs>
        <w:spacing w:line="360" w:lineRule="auto"/>
        <w:ind w:left="380"/>
        <w:jc w:val="left"/>
        <w:textAlignment w:val="center"/>
      </w:pPr>
      <w:r>
        <w:t>A．①②</w:t>
      </w:r>
      <w:r>
        <w:tab/>
      </w:r>
      <w:r>
        <w:t>B．②③</w:t>
      </w:r>
      <w:r>
        <w:tab/>
      </w:r>
      <w:r>
        <w:t>C．①④</w:t>
      </w:r>
      <w:r>
        <w:tab/>
      </w:r>
      <w:r>
        <w:t>D．③④</w:t>
      </w:r>
    </w:p>
    <w:p>
      <w:pPr>
        <w:shd w:val="clear" w:color="auto" w:fill="FFFFFF"/>
        <w:spacing w:line="360" w:lineRule="auto"/>
        <w:jc w:val="left"/>
        <w:textAlignment w:val="center"/>
      </w:pPr>
      <w:r>
        <w:rPr>
          <w:rFonts w:hint="eastAsia"/>
          <w:lang w:val="en-US" w:eastAsia="zh-CN"/>
        </w:rPr>
        <w:t>1</w:t>
      </w:r>
      <w:r>
        <w:t>2．9月4日的国新办新闻发布会上透露一则信息，中央编办正式批复在国家发展改革委内部设立民营经济发展局，作为促进民营经济发展壮大的专门机构，加强相关领域政策统筹协调，推动各项重大举措早落地、早见效。设立民营经济发展局（</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①有利于各种所有制经济相互促进，共同发挥主导作用</w:t>
      </w:r>
    </w:p>
    <w:p>
      <w:pPr>
        <w:shd w:val="clear" w:color="auto" w:fill="FFFFFF"/>
        <w:spacing w:line="360" w:lineRule="auto"/>
        <w:jc w:val="left"/>
        <w:textAlignment w:val="center"/>
      </w:pPr>
      <w:r>
        <w:t>②有利于促进非公有制经济发展，从而促进生产力的发展　</w:t>
      </w:r>
    </w:p>
    <w:p>
      <w:pPr>
        <w:shd w:val="clear" w:color="auto" w:fill="FFFFFF"/>
        <w:spacing w:line="360" w:lineRule="auto"/>
        <w:jc w:val="left"/>
        <w:textAlignment w:val="center"/>
      </w:pPr>
      <w:r>
        <w:t>③有利于维护各种所有制经济在国民经济结构中地位的平等</w:t>
      </w:r>
    </w:p>
    <w:p>
      <w:pPr>
        <w:shd w:val="clear" w:color="auto" w:fill="FFFFFF"/>
        <w:spacing w:line="360" w:lineRule="auto"/>
        <w:jc w:val="left"/>
        <w:textAlignment w:val="center"/>
      </w:pPr>
      <w:r>
        <w:t>④有利于调动不同经济主体的积极性，推动经济高质量发展</w:t>
      </w:r>
    </w:p>
    <w:p>
      <w:pPr>
        <w:shd w:val="clear" w:color="auto" w:fill="FFFFFF"/>
        <w:tabs>
          <w:tab w:val="left" w:pos="2078"/>
          <w:tab w:val="left" w:pos="4156"/>
          <w:tab w:val="left" w:pos="6234"/>
        </w:tabs>
        <w:spacing w:line="360" w:lineRule="auto"/>
        <w:ind w:left="380"/>
        <w:jc w:val="left"/>
        <w:textAlignment w:val="center"/>
      </w:pPr>
      <w:r>
        <w:t>A．①②</w:t>
      </w:r>
      <w:r>
        <w:tab/>
      </w:r>
      <w:r>
        <w:t>B．③④</w:t>
      </w:r>
      <w:r>
        <w:tab/>
      </w:r>
      <w:r>
        <w:t>C．①③</w:t>
      </w:r>
      <w:r>
        <w:tab/>
      </w:r>
      <w:r>
        <w:t>D．②④</w:t>
      </w:r>
    </w:p>
    <w:p>
      <w:pPr>
        <w:shd w:val="clear" w:color="auto" w:fill="FFFFFF"/>
        <w:spacing w:line="360" w:lineRule="auto"/>
        <w:jc w:val="left"/>
        <w:textAlignment w:val="center"/>
      </w:pPr>
      <w:r>
        <w:rPr>
          <w:rFonts w:hint="eastAsia"/>
          <w:lang w:val="en-US" w:eastAsia="zh-CN"/>
        </w:rPr>
        <w:t>1</w:t>
      </w:r>
      <w:r>
        <w:t>3．2022年4月，《中共中央国务院关于加快建设全国统一大市场的意见》提出，要加快建立全国统一的市场制度规则，打破地方保护和市场分割，促进形成我国市场经济“大发展、大循环、大繁荣”的发展格局。建立全国统一大市场（</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①要规范市场秩序，打破地方保护和市场分割</w:t>
      </w:r>
    </w:p>
    <w:p>
      <w:pPr>
        <w:shd w:val="clear" w:color="auto" w:fill="FFFFFF"/>
        <w:spacing w:line="360" w:lineRule="auto"/>
        <w:jc w:val="left"/>
        <w:textAlignment w:val="center"/>
      </w:pPr>
      <w:r>
        <w:t>②要把人民群众的当前利益放在首位，片面追求经济的高速增长</w:t>
      </w:r>
    </w:p>
    <w:p>
      <w:pPr>
        <w:shd w:val="clear" w:color="auto" w:fill="FFFFFF"/>
        <w:spacing w:line="360" w:lineRule="auto"/>
        <w:jc w:val="left"/>
        <w:textAlignment w:val="center"/>
      </w:pPr>
      <w:r>
        <w:t>③要实施科学的宏观调控，推动有效市场与有为政府更好结合</w:t>
      </w:r>
    </w:p>
    <w:p>
      <w:pPr>
        <w:shd w:val="clear" w:color="auto" w:fill="FFFFFF"/>
        <w:spacing w:line="360" w:lineRule="auto"/>
        <w:jc w:val="left"/>
        <w:textAlignment w:val="center"/>
      </w:pPr>
      <w:r>
        <w:t>④要打破市场规则，限制公平竞争</w:t>
      </w:r>
    </w:p>
    <w:p>
      <w:pPr>
        <w:shd w:val="clear" w:color="auto" w:fill="FFFFFF"/>
        <w:tabs>
          <w:tab w:val="left" w:pos="2078"/>
          <w:tab w:val="left" w:pos="4156"/>
          <w:tab w:val="left" w:pos="6234"/>
        </w:tabs>
        <w:spacing w:line="360" w:lineRule="auto"/>
        <w:ind w:left="380"/>
        <w:jc w:val="left"/>
        <w:textAlignment w:val="center"/>
      </w:pPr>
      <w:r>
        <w:t>A．①③</w:t>
      </w:r>
      <w:r>
        <w:tab/>
      </w:r>
      <w:r>
        <w:t>B．①②</w:t>
      </w:r>
      <w:r>
        <w:tab/>
      </w:r>
      <w:r>
        <w:t>C．②④</w:t>
      </w:r>
      <w:r>
        <w:tab/>
      </w:r>
      <w:r>
        <w:t>D．③④</w:t>
      </w:r>
    </w:p>
    <w:p>
      <w:pPr>
        <w:shd w:val="clear" w:color="auto" w:fill="FFFFFF"/>
        <w:spacing w:line="360" w:lineRule="auto"/>
        <w:jc w:val="left"/>
        <w:textAlignment w:val="center"/>
      </w:pPr>
      <w:r>
        <w:rPr>
          <w:rFonts w:hint="eastAsia"/>
          <w:lang w:val="en-US" w:eastAsia="zh-CN"/>
        </w:rPr>
        <w:t>1</w:t>
      </w:r>
      <w:r>
        <w:t>4．“各种经济时代的区别，不在于生产什么，而在于怎样生产，用什么劳动资料生产”，据此，马克思把人类社会划分为石器时代、青铜器时代、铁器时代和大机器时代。恩格斯在《家庭、私有制和国家的起源》中，同样基于生产力发展水平的不同，把人类历史划分为蒙昧时代、野蛮时代和文明时代。上述材料共同说明（</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A．生产力是社会发展的最终决定力量</w:t>
      </w:r>
    </w:p>
    <w:p>
      <w:pPr>
        <w:shd w:val="clear" w:color="auto" w:fill="FFFFFF"/>
        <w:spacing w:line="360" w:lineRule="auto"/>
        <w:ind w:left="380"/>
        <w:jc w:val="left"/>
        <w:textAlignment w:val="center"/>
      </w:pPr>
      <w:r>
        <w:t>B．生产方式是社会存在和发展的基础</w:t>
      </w:r>
    </w:p>
    <w:p>
      <w:pPr>
        <w:shd w:val="clear" w:color="auto" w:fill="FFFFFF"/>
        <w:spacing w:line="360" w:lineRule="auto"/>
        <w:ind w:left="380"/>
        <w:jc w:val="left"/>
        <w:textAlignment w:val="center"/>
      </w:pPr>
      <w:r>
        <w:t>C．生产关系对生产力发展具有重要影响</w:t>
      </w:r>
    </w:p>
    <w:p>
      <w:pPr>
        <w:shd w:val="clear" w:color="auto" w:fill="FFFFFF"/>
        <w:spacing w:line="360" w:lineRule="auto"/>
        <w:ind w:left="380"/>
        <w:jc w:val="left"/>
        <w:textAlignment w:val="center"/>
      </w:pPr>
      <w:r>
        <w:t>D．生产关系一定要适应生产力的状况</w:t>
      </w:r>
    </w:p>
    <w:p>
      <w:pPr>
        <w:shd w:val="clear" w:color="auto" w:fill="FFFFFF"/>
        <w:spacing w:line="360" w:lineRule="auto"/>
        <w:jc w:val="left"/>
        <w:textAlignment w:val="center"/>
      </w:pPr>
      <w:r>
        <w:rPr>
          <w:rFonts w:hint="eastAsia"/>
          <w:lang w:val="en-US" w:eastAsia="zh-CN"/>
        </w:rPr>
        <w:t>1</w:t>
      </w:r>
      <w:r>
        <w:t>5．2022年8月，新冠病毒奥密克戎变异株袭击海南，某农粮央企积极践行企业责任，全力保障市场供应，维持粮食价格稳定，带头维护市场价格秩序，为打赢疫情防控攻坚战保持社会有序运行贡献力量。这说明国有企业（</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A．国有企业是国民经济唯一的实现形式</w:t>
      </w:r>
    </w:p>
    <w:p>
      <w:pPr>
        <w:shd w:val="clear" w:color="auto" w:fill="FFFFFF"/>
        <w:spacing w:line="360" w:lineRule="auto"/>
        <w:ind w:left="380"/>
        <w:jc w:val="left"/>
        <w:textAlignment w:val="center"/>
      </w:pPr>
      <w:r>
        <w:t>B．在前瞻性战略性产业中发挥重要作用</w:t>
      </w:r>
    </w:p>
    <w:p>
      <w:pPr>
        <w:shd w:val="clear" w:color="auto" w:fill="FFFFFF"/>
        <w:spacing w:line="360" w:lineRule="auto"/>
        <w:ind w:left="380"/>
        <w:jc w:val="left"/>
        <w:textAlignment w:val="center"/>
      </w:pPr>
      <w:r>
        <w:t>C．在我国经济社会发展中发挥主体作用</w:t>
      </w:r>
    </w:p>
    <w:p>
      <w:pPr>
        <w:shd w:val="clear" w:color="auto" w:fill="FFFFFF"/>
        <w:spacing w:line="360" w:lineRule="auto"/>
        <w:ind w:left="380"/>
        <w:jc w:val="left"/>
        <w:textAlignment w:val="center"/>
      </w:pPr>
      <w:r>
        <w:t>D．是保障和维护人民共同利益的重要力量</w:t>
      </w:r>
    </w:p>
    <w:p>
      <w:pPr>
        <w:shd w:val="clear" w:color="auto" w:fill="FFFFFF"/>
        <w:spacing w:line="360" w:lineRule="auto"/>
        <w:jc w:val="left"/>
        <w:textAlignment w:val="center"/>
      </w:pPr>
      <w:r>
        <w:rPr>
          <w:rFonts w:hint="eastAsia"/>
          <w:lang w:val="en-US" w:eastAsia="zh-CN"/>
        </w:rPr>
        <w:t>16</w:t>
      </w:r>
      <w:r>
        <w:t>．阅读材料，完成下列要求。</w:t>
      </w:r>
    </w:p>
    <w:p>
      <w:pPr>
        <w:shd w:val="clear" w:color="auto" w:fill="FFFFFF"/>
        <w:spacing w:line="360" w:lineRule="auto"/>
        <w:ind w:firstLine="420"/>
        <w:jc w:val="left"/>
        <w:textAlignment w:val="center"/>
      </w:pPr>
      <w:r>
        <w:rPr>
          <w:rFonts w:ascii="楷体" w:hAnsi="楷体" w:eastAsia="楷体" w:cs="楷体"/>
        </w:rPr>
        <w:t>民以食为天，食以安为先。中国特色社会主义进入新时代，食品安全是人们美好生活不可或缺的重要组成部分。可以说，解决食品安全领域不平衡不充分问题的重点任务，就是实施食品安全战略，促进优质供给与美好生活需求相匹配。为了推进食品保健食品欺诈和虚假宣传整治工作向纵深发展，全国食品保健食品欺诈和虚假宣传整治工作领导小组办公室组织编写了《食品保健食品欺诈和虚假宣传整治问答》，从基础常识、生产经营许可、标签标识、特殊食品、进口食品、虚假宣传、欺诈销售及广告审查与监管、非法添加及检测等方面，对整治相关法律法规、规定等进行了系统梳理，便于各地监管部门在整治工作中参考。</w:t>
      </w:r>
    </w:p>
    <w:p>
      <w:pPr>
        <w:shd w:val="clear" w:color="auto" w:fill="FFFFFF"/>
        <w:spacing w:line="360" w:lineRule="auto"/>
        <w:jc w:val="left"/>
        <w:textAlignment w:val="center"/>
        <w:rPr>
          <w:rFonts w:hint="eastAsia"/>
          <w:lang w:val="en-US" w:eastAsia="zh-CN"/>
        </w:rPr>
      </w:pPr>
      <w:r>
        <w:rPr>
          <w:rFonts w:hint="eastAsia"/>
          <w:lang w:val="en-US" w:eastAsia="zh-CN"/>
        </w:rPr>
        <w:t>（1）从市场体系的角度，说明为什么会出现食品安全问题。（8分）</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shd w:val="clear" w:color="auto" w:fill="FFFFFF"/>
        <w:spacing w:line="360" w:lineRule="auto"/>
        <w:jc w:val="left"/>
        <w:textAlignment w:val="center"/>
        <w:rPr>
          <w:rFonts w:hint="eastAsia" w:eastAsia="宋体"/>
          <w:lang w:eastAsia="zh-CN"/>
        </w:rPr>
      </w:pPr>
      <w:r>
        <w:t>(2)结合所学知识，说明如何建设高标准市场体系。</w:t>
      </w:r>
      <w:r>
        <w:rPr>
          <w:rFonts w:hint="eastAsia"/>
          <w:lang w:eastAsia="zh-CN"/>
        </w:rPr>
        <w:t>（</w:t>
      </w:r>
      <w:r>
        <w:rPr>
          <w:rFonts w:hint="eastAsia"/>
          <w:lang w:val="en-US" w:eastAsia="zh-CN"/>
        </w:rPr>
        <w:t>8分</w:t>
      </w:r>
      <w:r>
        <w:rPr>
          <w:rFonts w:hint="eastAsia"/>
          <w:lang w:eastAsia="zh-CN"/>
        </w:rPr>
        <w:t>）</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000000"/>
    <w:rsid w:val="0261337B"/>
    <w:rsid w:val="0350276E"/>
    <w:rsid w:val="072233BC"/>
    <w:rsid w:val="203130F5"/>
    <w:rsid w:val="26636216"/>
    <w:rsid w:val="2F0520B6"/>
    <w:rsid w:val="34074D73"/>
    <w:rsid w:val="37A8746B"/>
    <w:rsid w:val="42B931B9"/>
    <w:rsid w:val="4E89696B"/>
    <w:rsid w:val="515F472B"/>
    <w:rsid w:val="51CD0616"/>
    <w:rsid w:val="6358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3806</Words>
  <Characters>3935</Characters>
  <Lines>0</Lines>
  <Paragraphs>0</Paragraphs>
  <TotalTime>4</TotalTime>
  <ScaleCrop>false</ScaleCrop>
  <LinksUpToDate>false</LinksUpToDate>
  <CharactersWithSpaces>4834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2023-12-06T13:51:51Z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803757F0B4E94F9C8FB24BD8EBD15CB3_12</vt:lpwstr>
  </property>
</Properties>
</file>