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171A1D"/>
          <w:sz w:val="36"/>
          <w:szCs w:val="36"/>
          <w:shd w:val="clear" w:color="auto" w:fill="FFFFFF"/>
        </w:rPr>
      </w:pPr>
      <w:r>
        <w:rPr>
          <w:rFonts w:hint="eastAsia" w:ascii="黑体" w:hAnsi="黑体" w:eastAsia="黑体" w:cs="黑体"/>
          <w:color w:val="171A1D"/>
          <w:sz w:val="36"/>
          <w:szCs w:val="36"/>
          <w:shd w:val="clear" w:color="auto" w:fill="FFFFFF"/>
        </w:rPr>
        <w:t xml:space="preserve">  基于深度学习视域下的问题链设计</w:t>
      </w:r>
    </w:p>
    <w:p>
      <w:pPr>
        <w:jc w:val="center"/>
        <w:rPr>
          <w:rFonts w:ascii="黑体" w:hAnsi="黑体" w:eastAsia="黑体" w:cs="黑体"/>
          <w:color w:val="171A1D"/>
          <w:sz w:val="36"/>
          <w:szCs w:val="36"/>
          <w:shd w:val="clear" w:color="auto" w:fill="FFFFFF"/>
        </w:rPr>
      </w:pPr>
      <w:r>
        <w:rPr>
          <w:rFonts w:hint="eastAsia" w:ascii="黑体" w:hAnsi="黑体" w:eastAsia="黑体" w:cs="黑体"/>
          <w:color w:val="171A1D"/>
          <w:sz w:val="36"/>
          <w:szCs w:val="36"/>
          <w:shd w:val="clear" w:color="auto" w:fill="FFFFFF"/>
        </w:rPr>
        <w:t xml:space="preserve">      </w:t>
      </w:r>
      <w:bookmarkStart w:id="0" w:name="_GoBack"/>
      <w:bookmarkEnd w:id="0"/>
      <w:r>
        <w:rPr>
          <w:rFonts w:hint="eastAsia" w:ascii="黑体" w:hAnsi="黑体" w:eastAsia="黑体" w:cs="黑体"/>
          <w:color w:val="171A1D"/>
          <w:sz w:val="36"/>
          <w:szCs w:val="36"/>
          <w:shd w:val="clear" w:color="auto" w:fill="FFFFFF"/>
        </w:rPr>
        <w:t xml:space="preserve">     —以高中历史《当代中国的外交》为例</w:t>
      </w:r>
    </w:p>
    <w:p>
      <w:pPr>
        <w:rPr>
          <w:rFonts w:ascii="微软雅黑" w:hAnsi="微软雅黑" w:eastAsia="微软雅黑" w:cs="微软雅黑"/>
          <w:color w:val="171A1D"/>
          <w:sz w:val="14"/>
          <w:szCs w:val="14"/>
          <w:shd w:val="clear" w:color="auto" w:fill="FFFFFF"/>
        </w:rPr>
      </w:pPr>
      <w:r>
        <w:rPr>
          <w:rFonts w:hint="eastAsia" w:ascii="微软雅黑" w:hAnsi="微软雅黑" w:eastAsia="微软雅黑" w:cs="微软雅黑"/>
          <w:color w:val="171A1D"/>
          <w:sz w:val="14"/>
          <w:szCs w:val="14"/>
          <w:shd w:val="clear" w:color="auto" w:fill="FFFFFF"/>
        </w:rPr>
        <w:t xml:space="preserve">    </w:t>
      </w:r>
    </w:p>
    <w:p>
      <w:pPr>
        <w:ind w:firstLine="240" w:firstLineChars="100"/>
        <w:jc w:val="center"/>
        <w:rPr>
          <w:rFonts w:ascii="仿宋" w:hAnsi="仿宋" w:eastAsia="仿宋" w:cs="仿宋"/>
          <w:color w:val="171A1D"/>
          <w:sz w:val="24"/>
          <w:shd w:val="clear" w:color="auto" w:fill="FFFFFF"/>
        </w:rPr>
      </w:pPr>
    </w:p>
    <w:p>
      <w:pPr>
        <w:spacing w:line="360" w:lineRule="auto"/>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摘要：</w:t>
      </w:r>
      <w:r>
        <w:rPr>
          <w:rFonts w:hint="eastAsia" w:ascii="仿宋" w:hAnsi="仿宋" w:eastAsia="仿宋" w:cs="仿宋"/>
          <w:b/>
          <w:bCs/>
          <w:color w:val="171A1D"/>
          <w:sz w:val="30"/>
          <w:szCs w:val="30"/>
          <w:shd w:val="clear" w:color="auto" w:fill="FFFFFF"/>
        </w:rPr>
        <w:t xml:space="preserve"> </w:t>
      </w:r>
      <w:r>
        <w:rPr>
          <w:rFonts w:hint="eastAsia" w:ascii="仿宋" w:hAnsi="仿宋" w:eastAsia="仿宋" w:cs="仿宋"/>
          <w:color w:val="171A1D"/>
          <w:sz w:val="24"/>
          <w:shd w:val="clear" w:color="auto" w:fill="FFFFFF"/>
        </w:rPr>
        <w:t>“问题链”是指课堂教学中围绕具体核心教学目标，按照一定的教学逻辑关系而设计的一连串有效教学问题，有效且层递的问题链是实现深度学习的有效途径之一。通过设置环环相扣的问题链，使课堂教学内容结构化、逻辑化，为学生创设了持续“追问”的历史情境，将学生高涨的情绪持续化，激发学习积极性的同时去深度思考问题。</w:t>
      </w:r>
    </w:p>
    <w:p>
      <w:pPr>
        <w:spacing w:line="360" w:lineRule="auto"/>
        <w:ind w:firstLine="480" w:firstLineChars="200"/>
        <w:rPr>
          <w:rFonts w:ascii="仿宋" w:hAnsi="仿宋" w:eastAsia="仿宋" w:cs="仿宋"/>
          <w:b/>
          <w:bCs/>
          <w:color w:val="171A1D"/>
          <w:sz w:val="24"/>
          <w:shd w:val="clear" w:color="auto" w:fill="FFFFFF"/>
        </w:rPr>
      </w:pPr>
      <w:r>
        <w:rPr>
          <w:rFonts w:hint="eastAsia" w:ascii="仿宋" w:hAnsi="仿宋" w:eastAsia="仿宋" w:cs="仿宋"/>
          <w:color w:val="171A1D"/>
          <w:sz w:val="24"/>
          <w:shd w:val="clear" w:color="auto" w:fill="FFFFFF"/>
        </w:rPr>
        <w:t>本文以高中历史选择性必修1的第14课《当代中国的外交》为例，尝试使用导学问题链、探究问题链、拓展问题链展开教学，力图培养学生的高阶思维能力和学科核心素养，让深度学习在课堂中真实发生；中有不足，还望请教方家。</w:t>
      </w:r>
    </w:p>
    <w:p>
      <w:pPr>
        <w:spacing w:line="360" w:lineRule="auto"/>
        <w:rPr>
          <w:rFonts w:ascii="仿宋" w:hAnsi="仿宋" w:eastAsia="仿宋" w:cs="仿宋"/>
          <w:b/>
          <w:bCs/>
          <w:color w:val="171A1D"/>
          <w:sz w:val="24"/>
          <w:shd w:val="clear" w:color="auto" w:fill="FFFFFF"/>
        </w:rPr>
      </w:pPr>
    </w:p>
    <w:p>
      <w:pPr>
        <w:spacing w:line="360" w:lineRule="auto"/>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关键词</w:t>
      </w:r>
      <w:r>
        <w:rPr>
          <w:rFonts w:hint="eastAsia" w:ascii="仿宋" w:hAnsi="仿宋" w:eastAsia="仿宋" w:cs="仿宋"/>
          <w:color w:val="171A1D"/>
          <w:sz w:val="24"/>
          <w:shd w:val="clear" w:color="auto" w:fill="FFFFFF"/>
        </w:rPr>
        <w:t>：高中历史、问题链设计、深度学习</w:t>
      </w:r>
    </w:p>
    <w:p>
      <w:pPr>
        <w:spacing w:line="360" w:lineRule="auto"/>
        <w:rPr>
          <w:rFonts w:ascii="黑体" w:hAnsi="黑体" w:eastAsia="黑体" w:cs="黑体"/>
          <w:color w:val="171A1D"/>
          <w:sz w:val="24"/>
          <w:shd w:val="clear" w:color="auto" w:fill="FFFFFF"/>
        </w:rPr>
      </w:pPr>
    </w:p>
    <w:p>
      <w:pPr>
        <w:spacing w:line="360" w:lineRule="auto"/>
        <w:rPr>
          <w:rFonts w:ascii="黑体" w:hAnsi="黑体" w:eastAsia="黑体" w:cs="黑体"/>
          <w:color w:val="171A1D"/>
          <w:sz w:val="24"/>
          <w:shd w:val="clear" w:color="auto" w:fill="FFFFFF"/>
        </w:rPr>
      </w:pPr>
      <w:r>
        <w:rPr>
          <w:rFonts w:hint="eastAsia" w:ascii="黑体" w:hAnsi="黑体" w:eastAsia="黑体" w:cs="黑体"/>
          <w:color w:val="171A1D"/>
          <w:sz w:val="24"/>
          <w:shd w:val="clear" w:color="auto" w:fill="FFFFFF"/>
        </w:rPr>
        <w:t>一、研究背景</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华东师范大学崔允漷教授将其界定为：学生基于教师预设的专业方案，经历有指导、有挑战、高投入、高认知的学习过程，并获得有有意义的学习结果。</w:t>
      </w:r>
      <w:r>
        <w:rPr>
          <w:rStyle w:val="8"/>
          <w:rFonts w:hint="eastAsia" w:ascii="仿宋" w:hAnsi="仿宋" w:eastAsia="仿宋" w:cs="仿宋"/>
          <w:color w:val="171A1D"/>
          <w:sz w:val="24"/>
          <w:shd w:val="clear" w:color="auto" w:fill="FFFFFF"/>
        </w:rPr>
        <w:t>[</w:t>
      </w:r>
      <w:r>
        <w:rPr>
          <w:rStyle w:val="8"/>
          <w:rFonts w:hint="eastAsia" w:ascii="仿宋" w:hAnsi="仿宋" w:eastAsia="仿宋" w:cs="仿宋"/>
          <w:color w:val="171A1D"/>
          <w:sz w:val="24"/>
          <w:shd w:val="clear" w:color="auto" w:fill="FFFFFF"/>
        </w:rPr>
        <w:endnoteReference w:id="0"/>
      </w:r>
      <w:r>
        <w:rPr>
          <w:rStyle w:val="8"/>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t>诚然，在新课改浪潮之下，面对高中历史教材单课体量大、内容多的现实情况，亟需教师对教材知识进行高效融通与整合，展开深度教学，学生的深度学习才有可能发生。</w:t>
      </w:r>
      <w:r>
        <w:rPr>
          <w:rFonts w:ascii="仿宋" w:hAnsi="仿宋" w:eastAsia="仿宋" w:cs="仿宋"/>
          <w:color w:val="171A1D"/>
          <w:sz w:val="24"/>
          <w:shd w:val="clear" w:color="auto" w:fill="FFFFFF"/>
        </w:rPr>
        <w:t>所谓“深度”就是要突破知识表层，探究知识的深层意义和内涵。那么学生该如何实现深度学习呢？根据《普通高中历史课程标准》（2017年</w:t>
      </w:r>
      <w:r>
        <w:rPr>
          <w:rFonts w:hint="eastAsia" w:ascii="仿宋" w:hAnsi="仿宋" w:eastAsia="仿宋" w:cs="仿宋"/>
          <w:color w:val="171A1D"/>
          <w:sz w:val="24"/>
          <w:shd w:val="clear" w:color="auto" w:fill="FFFFFF"/>
        </w:rPr>
        <w:t>版，2020年修订</w:t>
      </w:r>
      <w:r>
        <w:rPr>
          <w:rFonts w:ascii="仿宋" w:hAnsi="仿宋" w:eastAsia="仿宋" w:cs="仿宋"/>
          <w:color w:val="171A1D"/>
          <w:sz w:val="24"/>
          <w:shd w:val="clear" w:color="auto" w:fill="FFFFFF"/>
        </w:rPr>
        <w:t>）要求：“通过对课程内容的整合，引导学生深度学习，促进学生带着问题意识和证据意识在新情境下对历史进行探索，拓展其历史认识的广度与深度。”</w:t>
      </w:r>
      <w:r>
        <w:rPr>
          <w:rStyle w:val="8"/>
          <w:rFonts w:ascii="仿宋" w:hAnsi="仿宋" w:eastAsia="仿宋" w:cs="仿宋"/>
          <w:color w:val="171A1D"/>
          <w:sz w:val="24"/>
          <w:shd w:val="clear" w:color="auto" w:fill="FFFFFF"/>
        </w:rPr>
        <w:t>[</w:t>
      </w:r>
      <w:r>
        <w:rPr>
          <w:rStyle w:val="8"/>
          <w:rFonts w:ascii="仿宋" w:hAnsi="仿宋" w:eastAsia="仿宋" w:cs="仿宋"/>
          <w:color w:val="171A1D"/>
          <w:sz w:val="24"/>
          <w:shd w:val="clear" w:color="auto" w:fill="FFFFFF"/>
        </w:rPr>
        <w:endnoteReference w:id="1"/>
      </w:r>
      <w:r>
        <w:rPr>
          <w:rStyle w:val="8"/>
          <w:rFonts w:ascii="仿宋" w:hAnsi="仿宋" w:eastAsia="仿宋" w:cs="仿宋"/>
          <w:color w:val="171A1D"/>
          <w:sz w:val="24"/>
          <w:shd w:val="clear" w:color="auto" w:fill="FFFFFF"/>
        </w:rPr>
        <w:t>]</w:t>
      </w:r>
      <w:r>
        <w:rPr>
          <w:rFonts w:hint="eastAsia" w:ascii="宋体" w:hAnsi="宋体" w:eastAsia="宋体" w:cs="宋体"/>
          <w:color w:val="171A1D"/>
          <w:sz w:val="24"/>
          <w:shd w:val="clear" w:color="auto" w:fill="FFFFFF"/>
        </w:rPr>
        <w:t xml:space="preserve"> </w:t>
      </w:r>
      <w:r>
        <w:rPr>
          <w:rFonts w:hint="eastAsia" w:ascii="仿宋" w:hAnsi="仿宋" w:eastAsia="仿宋" w:cs="仿宋"/>
          <w:color w:val="171A1D"/>
          <w:sz w:val="24"/>
          <w:shd w:val="clear" w:color="auto" w:fill="FFFFFF"/>
        </w:rPr>
        <w:t>以统编版选择性必修1《国家制度与社会治理》第四单元第14课《当代中国的外交》一课为例，该课由“开创独立自主的和平外交”、“改革开放后的外交成就”、“中共十八大以来的中国特色大国外交”三个子目构成。根据浙江省普通高中学科教学指导意见：要求学生了解独立自主的和平外交政策的主要成就。</w:t>
      </w:r>
      <w:r>
        <w:rPr>
          <w:rStyle w:val="8"/>
          <w:rFonts w:hint="eastAsia" w:ascii="仿宋" w:hAnsi="仿宋" w:eastAsia="仿宋" w:cs="仿宋"/>
          <w:color w:val="171A1D"/>
          <w:sz w:val="24"/>
          <w:shd w:val="clear" w:color="auto" w:fill="FFFFFF"/>
        </w:rPr>
        <w:t>[</w:t>
      </w:r>
      <w:r>
        <w:rPr>
          <w:rStyle w:val="8"/>
          <w:rFonts w:hint="eastAsia" w:ascii="仿宋" w:hAnsi="仿宋" w:eastAsia="仿宋" w:cs="仿宋"/>
          <w:color w:val="171A1D"/>
          <w:sz w:val="24"/>
          <w:shd w:val="clear" w:color="auto" w:fill="FFFFFF"/>
        </w:rPr>
        <w:endnoteReference w:id="2"/>
      </w:r>
      <w:r>
        <w:rPr>
          <w:rStyle w:val="8"/>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t>然而，本课教材内容时间跨度大、内容浩繁，如何将中国共产党不同历史阶段的外交政策、外交成就淬炼为核心且系统的历史“主题”？在历史“核心问题”之下又该如何设置层递的问题链来促成学生真实地“深度学习”发生？这对于授课教师无疑是一次严峻考验；此次教学也成为笔者的首次区公开课亮相，实属难忘、“折磨”。通过查阅一手的档案文献、二手的学术论文，笔者发现以中美外交关系的演进为“主线索”可贯穿当代中国外交的不同历史阶段。因此，我将本节课的“核心问题”设置为“如何从中美关系的演变看当代中国的外交？”。本课的学习目标设置为：“通过概述新中国初期的三大外交方针，认识三大外交方针对新中国初期带来的影响；通过了解中国不同时期的外交政策，分析背后实行的深层原因；通过概述十八大以来的外交成就，感知中国特色的大国外交智慧和担当。</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依托学习目标，本课的分主题为新中国成立初期的“拳头对抗”、70年代的“握手言交”、再到新时代的“掰腕较量”三个阶段，使学生深切感知不同时空背景下的中美关系深刻影响着中国外交方针的调整。通过创设新颖的史论情境以及呈现有效的递进问题链助力学生的“深度学习”，使学生真正理解新时期中国推进构建新型中美大国关系而提出的中国方案与中国智慧。</w:t>
      </w:r>
    </w:p>
    <w:p>
      <w:pPr>
        <w:spacing w:line="360" w:lineRule="auto"/>
        <w:ind w:firstLine="480" w:firstLineChars="200"/>
        <w:rPr>
          <w:rFonts w:ascii="黑体" w:hAnsi="黑体" w:eastAsia="黑体" w:cs="黑体"/>
          <w:color w:val="171A1D"/>
          <w:sz w:val="24"/>
          <w:shd w:val="clear" w:color="auto" w:fill="FFFFFF"/>
        </w:rPr>
      </w:pPr>
      <w:r>
        <w:rPr>
          <w:rFonts w:hint="eastAsia" w:ascii="仿宋" w:hAnsi="仿宋" w:eastAsia="仿宋" w:cs="仿宋"/>
          <w:color w:val="171A1D"/>
          <w:sz w:val="24"/>
          <w:shd w:val="clear" w:color="auto" w:fill="FFFFFF"/>
        </w:rPr>
        <w:t>本节课对高二学生而言，大部分史实是在《中外历史纲要》上册已掌握的，鉴于课堂时间的捉襟见肘，需要教师做出有效断舍，在问题链的设计时需要注意问题设置的梯度性。如我在讲授三大外交外交方针的内容和意义时，主要以较易的浅层问题为主，目的是唤醒学生已有知识的“回忆”和“再认”。探究不同时期影响中国外交方针调整的因素时，主要设计了探究式问题链，以“还原历史现场”为情境，通过学生小组合作探究，由浅入深去引导学生理解20世纪70年代中美关系走向握手的深层原因。</w:t>
      </w:r>
    </w:p>
    <w:p>
      <w:pPr>
        <w:spacing w:line="360" w:lineRule="auto"/>
        <w:rPr>
          <w:rFonts w:ascii="黑体" w:hAnsi="黑体" w:eastAsia="黑体" w:cs="黑体"/>
          <w:color w:val="171A1D"/>
          <w:sz w:val="24"/>
          <w:shd w:val="clear" w:color="auto" w:fill="FFFFFF"/>
        </w:rPr>
      </w:pPr>
      <w:r>
        <w:rPr>
          <w:rFonts w:hint="eastAsia" w:ascii="黑体" w:hAnsi="黑体" w:eastAsia="黑体" w:cs="黑体"/>
          <w:color w:val="171A1D"/>
          <w:sz w:val="24"/>
          <w:shd w:val="clear" w:color="auto" w:fill="FFFFFF"/>
        </w:rPr>
        <w:t>二、课堂实践</w:t>
      </w:r>
    </w:p>
    <w:p>
      <w:pPr>
        <w:spacing w:line="360" w:lineRule="auto"/>
        <w:rPr>
          <w:rFonts w:ascii="仿宋" w:hAnsi="仿宋" w:eastAsia="仿宋" w:cs="仿宋"/>
          <w:b/>
          <w:bCs/>
          <w:color w:val="171A1D"/>
          <w:sz w:val="24"/>
          <w:shd w:val="clear" w:color="auto" w:fill="FFFFFF"/>
        </w:rPr>
      </w:pPr>
      <w:r>
        <w:rPr>
          <w:rFonts w:hint="eastAsia" w:ascii="仿宋" w:hAnsi="仿宋" w:eastAsia="仿宋" w:cs="仿宋"/>
          <w:b/>
          <w:bCs/>
          <w:color w:val="171A1D"/>
          <w:sz w:val="24"/>
          <w:shd w:val="clear" w:color="auto" w:fill="FFFFFF"/>
        </w:rPr>
        <w:t>1、导学式问题链</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在本节课中，导学问题链的设计主要立足于学情，依托教学主题，关注学生的“最近发展区”，以激发学生沉浸历史课堂的兴趣、唤醒学生已有知识为主要目的。因此，导学问题链的设置以轻松、明快、简洁为主。如下问题链1，紧扣二战结束后中美两国关系走向“对抗”的时空背景，在中美“拳头对抗”之下，美国采取了对新中国政治外交上的不承认，那么面对美国的全面孤立，新中国做出哪些外交上的举措呢？带着这样的问题意识，我设置了如下的问题链；在具体的课堂实操中，学生基本可以结合所学以及给出的材料和漫画回答出来。</w:t>
      </w:r>
    </w:p>
    <w:p>
      <w:pPr>
        <w:spacing w:line="360" w:lineRule="auto"/>
        <w:ind w:firstLine="482" w:firstLineChars="200"/>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【问题链1】</w:t>
      </w:r>
      <w:r>
        <w:rPr>
          <w:rFonts w:hint="eastAsia" w:ascii="仿宋" w:hAnsi="仿宋" w:eastAsia="仿宋" w:cs="仿宋"/>
          <w:color w:val="171A1D"/>
          <w:sz w:val="24"/>
          <w:shd w:val="clear" w:color="auto" w:fill="FFFFFF"/>
        </w:rPr>
        <w:t>结合材料一及漫画，分析新中国成立以后中美两国走向“拳头对抗”的原因有哪些？说明在美国的孤立与不承认之下，新中国成立初期采取了哪些外交方针？三大外交方针对新中国初期外交产生了什么影响？</w:t>
      </w:r>
    </w:p>
    <w:p>
      <w:pPr>
        <w:spacing w:line="360" w:lineRule="auto"/>
        <w:ind w:firstLine="480" w:firstLineChars="200"/>
        <w:rPr>
          <w:rStyle w:val="8"/>
          <w:rFonts w:ascii="楷体" w:hAnsi="楷体" w:eastAsia="楷体" w:cs="楷体"/>
          <w:color w:val="171A1D"/>
          <w:sz w:val="24"/>
          <w:shd w:val="clear" w:color="auto" w:fill="FFFFFF"/>
        </w:rPr>
      </w:pPr>
      <w:r>
        <w:rPr>
          <w:rFonts w:hint="eastAsia" w:ascii="楷体" w:hAnsi="楷体" w:eastAsia="楷体" w:cs="楷体"/>
          <w:color w:val="171A1D"/>
          <w:sz w:val="24"/>
          <w:shd w:val="clear" w:color="auto" w:fill="FFFFFF"/>
        </w:rPr>
        <w:t>材料1： 在美国反苏、反共反华的叫嚷下，在美国支持蒋介石失败后，要从美国获得建设国家的援助当时看来是不可能的，中国建设需要的资金、技术只能从苏联方面得到。</w:t>
      </w:r>
      <w:r>
        <w:rPr>
          <w:rStyle w:val="8"/>
          <w:rFonts w:hint="eastAsia" w:ascii="楷体" w:hAnsi="楷体" w:eastAsia="楷体" w:cs="楷体"/>
          <w:color w:val="171A1D"/>
          <w:sz w:val="24"/>
          <w:shd w:val="clear" w:color="auto" w:fill="FFFFFF"/>
        </w:rPr>
        <w:t>[</w:t>
      </w:r>
      <w:r>
        <w:rPr>
          <w:rStyle w:val="8"/>
          <w:rFonts w:hint="eastAsia" w:ascii="楷体" w:hAnsi="楷体" w:eastAsia="楷体" w:cs="楷体"/>
          <w:color w:val="171A1D"/>
          <w:sz w:val="24"/>
          <w:shd w:val="clear" w:color="auto" w:fill="FFFFFF"/>
        </w:rPr>
        <w:endnoteReference w:id="3"/>
      </w:r>
      <w:r>
        <w:rPr>
          <w:rStyle w:val="8"/>
          <w:rFonts w:hint="eastAsia" w:ascii="楷体" w:hAnsi="楷体" w:eastAsia="楷体" w:cs="楷体"/>
          <w:color w:val="171A1D"/>
          <w:sz w:val="24"/>
          <w:shd w:val="clear" w:color="auto" w:fill="FFFFFF"/>
        </w:rPr>
        <w:t>]</w:t>
      </w:r>
    </w:p>
    <w:p>
      <w:pPr>
        <w:spacing w:line="360" w:lineRule="auto"/>
        <w:ind w:firstLine="480" w:firstLineChars="200"/>
        <w:rPr>
          <w:rFonts w:ascii="楷体" w:hAnsi="楷体" w:eastAsia="楷体" w:cs="楷体"/>
          <w:color w:val="171A1D"/>
          <w:sz w:val="24"/>
          <w:shd w:val="clear" w:color="auto" w:fill="FFFFFF"/>
        </w:rPr>
      </w:pPr>
      <w:r>
        <w:rPr>
          <w:rFonts w:hint="eastAsia" w:ascii="楷体" w:hAnsi="楷体" w:eastAsia="楷体" w:cs="楷体"/>
          <w:color w:val="171A1D"/>
          <w:sz w:val="24"/>
          <w:shd w:val="clear" w:color="auto" w:fill="FFFFFF"/>
        </w:rPr>
        <w:t>漫画：</w:t>
      </w:r>
    </w:p>
    <w:p>
      <w:pPr>
        <w:spacing w:line="360" w:lineRule="auto"/>
      </w:pPr>
      <w:r>
        <w:drawing>
          <wp:inline distT="0" distB="0" distL="114300" distR="114300">
            <wp:extent cx="2607310" cy="1367155"/>
            <wp:effectExtent l="147955" t="135255" r="165735" b="16129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8"/>
                    <a:srcRect/>
                    <a:stretch>
                      <a:fillRect/>
                    </a:stretch>
                  </pic:blipFill>
                  <pic:spPr>
                    <a:xfrm>
                      <a:off x="0" y="0"/>
                      <a:ext cx="2607310" cy="1367155"/>
                    </a:xfrm>
                    <a:prstGeom prst="rect">
                      <a:avLst/>
                    </a:prstGeom>
                    <a:ln>
                      <a:noFill/>
                    </a:ln>
                    <a:effectLst>
                      <a:outerShdw blurRad="190500" algn="tl" rotWithShape="0">
                        <a:srgbClr val="000000">
                          <a:alpha val="70000"/>
                        </a:srgbClr>
                      </a:outerShdw>
                    </a:effectLst>
                  </pic:spPr>
                </pic:pic>
              </a:graphicData>
            </a:graphic>
          </wp:inline>
        </w:drawing>
      </w:r>
    </w:p>
    <w:p>
      <w:pPr>
        <w:spacing w:line="360" w:lineRule="auto"/>
        <w:rPr>
          <w:rFonts w:ascii="仿宋" w:hAnsi="仿宋" w:eastAsia="仿宋" w:cs="仿宋"/>
          <w:b/>
          <w:bCs/>
          <w:color w:val="171A1D"/>
          <w:sz w:val="24"/>
          <w:shd w:val="clear" w:color="auto" w:fill="FFFFFF"/>
        </w:rPr>
      </w:pPr>
      <w:r>
        <w:rPr>
          <w:rFonts w:hint="eastAsia" w:ascii="仿宋" w:hAnsi="仿宋" w:eastAsia="仿宋" w:cs="仿宋"/>
          <w:b/>
          <w:bCs/>
          <w:color w:val="171A1D"/>
          <w:sz w:val="24"/>
          <w:shd w:val="clear" w:color="auto" w:fill="FFFFFF"/>
        </w:rPr>
        <w:t>2、探究式问题链</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无锡市高级中学杨洋老师认为：“探究式问题链主要是指向学生自主、探究的课堂学习而设置的有层次、有重点、有启迪的问题组群。”</w:t>
      </w:r>
      <w:r>
        <w:rPr>
          <w:rStyle w:val="8"/>
          <w:rFonts w:hint="eastAsia" w:ascii="仿宋" w:hAnsi="仿宋" w:eastAsia="仿宋" w:cs="仿宋"/>
          <w:color w:val="171A1D"/>
          <w:sz w:val="24"/>
          <w:shd w:val="clear" w:color="auto" w:fill="FFFFFF"/>
        </w:rPr>
        <w:t>[</w:t>
      </w:r>
      <w:r>
        <w:rPr>
          <w:rStyle w:val="8"/>
          <w:rFonts w:hint="eastAsia" w:ascii="仿宋" w:hAnsi="仿宋" w:eastAsia="仿宋" w:cs="仿宋"/>
          <w:color w:val="171A1D"/>
          <w:sz w:val="24"/>
          <w:shd w:val="clear" w:color="auto" w:fill="FFFFFF"/>
        </w:rPr>
        <w:endnoteReference w:id="4"/>
      </w:r>
      <w:r>
        <w:rPr>
          <w:rStyle w:val="8"/>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t>确实如此，探究式问题链相比较于导学问题链的设置更为进阶，其主要的设计目的更加突出学生在课堂中的主体作用，使学生围绕问题链去强化高阶思维能力和史学逻辑意识。</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基于此，我设置了如下两组问题链，问题链2的设计主要围绕和平共处五项基本原则而提出。学生基于知识储备，容易判断出此时抗美援朝战争结束，中国打破了美国不可一世的神话，但是仍属于低阶的再认思维，需要教师引导学生分析材料获取背后的历史信息，即尽管我们是保家卫国，打出了国际威望，然而美国利用联合国在国际舆论上污蔑新中国制造“红色恐惧”。教师随后口述：为什么新中国初期我们迎来了建交高潮，1953年却没有人愿意与我们做朋友？诱发学生产生“认知冲突”，在疑思下得出结论：新中国初期的三大外交方针是一把双刃剑，是意识形态之下的革命外交。此时，继续追问学生：为了打破美国外交上的孤立，周恩来总理提出了和平共处五项原则以及求同存异的方针，与三大外交方针有何不同？学生就可以理解和平共处五项原则具有包容性、广泛性，因而有更多的国家愿意和我们建立外交关系。</w:t>
      </w:r>
    </w:p>
    <w:p>
      <w:pPr>
        <w:spacing w:line="360" w:lineRule="auto"/>
        <w:ind w:firstLine="482" w:firstLineChars="200"/>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【问题链1】</w:t>
      </w:r>
      <w:r>
        <w:rPr>
          <w:rFonts w:hint="eastAsia" w:ascii="仿宋" w:hAnsi="仿宋" w:eastAsia="仿宋" w:cs="仿宋"/>
          <w:color w:val="171A1D"/>
          <w:sz w:val="24"/>
          <w:shd w:val="clear" w:color="auto" w:fill="FFFFFF"/>
        </w:rPr>
        <w:t>根据材料二、三并结合所学分析客人”为什么会“断流“？如何破局？与新中国成立初期的外交政策相比，和平共处五项原则有什么特点？产生了什么影响？</w:t>
      </w:r>
    </w:p>
    <w:p>
      <w:pPr>
        <w:spacing w:line="360" w:lineRule="auto"/>
        <w:ind w:firstLine="482" w:firstLineChars="200"/>
        <w:rPr>
          <w:rFonts w:ascii="楷体" w:hAnsi="楷体" w:eastAsia="楷体" w:cs="楷体"/>
          <w:b/>
          <w:bCs/>
          <w:color w:val="171A1D"/>
          <w:sz w:val="24"/>
          <w:shd w:val="clear" w:color="auto" w:fill="FFFFFF"/>
        </w:rPr>
      </w:pPr>
      <w:r>
        <w:rPr>
          <w:rFonts w:hint="eastAsia" w:ascii="楷体" w:hAnsi="楷体" w:eastAsia="楷体" w:cs="楷体"/>
          <w:b/>
          <w:bCs/>
          <w:color w:val="171A1D"/>
          <w:sz w:val="24"/>
          <w:shd w:val="clear" w:color="auto" w:fill="FFFFFF"/>
        </w:rPr>
        <w:t>材料2：</w:t>
      </w:r>
    </w:p>
    <w:tbl>
      <w:tblPr>
        <w:tblStyle w:val="6"/>
        <w:tblW w:w="4902" w:type="dxa"/>
        <w:tblCellSpacing w:w="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62"/>
        <w:gridCol w:w="1010"/>
        <w:gridCol w:w="1250"/>
        <w:gridCol w:w="13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52" w:hRule="atLeast"/>
          <w:tblCellSpacing w:w="0" w:type="dxa"/>
        </w:trPr>
        <w:tc>
          <w:tcPr>
            <w:tcW w:w="1262" w:type="dxa"/>
            <w:tcBorders>
              <w:tl2br w:val="nil"/>
              <w:tr2bl w:val="nil"/>
            </w:tcBorders>
            <w:shd w:val="clear" w:color="auto" w:fill="auto"/>
            <w:tcMar>
              <w:top w:w="54" w:type="dxa"/>
              <w:left w:w="108" w:type="dxa"/>
              <w:bottom w:w="54" w:type="dxa"/>
              <w:right w:w="108" w:type="dxa"/>
            </w:tcMar>
          </w:tcPr>
          <w:p>
            <w:pPr>
              <w:spacing w:line="360" w:lineRule="auto"/>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年份</w:t>
            </w:r>
          </w:p>
        </w:tc>
        <w:tc>
          <w:tcPr>
            <w:tcW w:w="1010" w:type="dxa"/>
            <w:tcBorders>
              <w:tl2br w:val="nil"/>
              <w:tr2bl w:val="nil"/>
            </w:tcBorders>
            <w:shd w:val="clear" w:color="auto" w:fill="auto"/>
            <w:tcMar>
              <w:top w:w="54" w:type="dxa"/>
              <w:left w:w="108" w:type="dxa"/>
              <w:bottom w:w="54" w:type="dxa"/>
              <w:right w:w="108" w:type="dxa"/>
            </w:tcMar>
          </w:tcPr>
          <w:p>
            <w:pPr>
              <w:spacing w:line="360" w:lineRule="auto"/>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1951</w:t>
            </w:r>
          </w:p>
        </w:tc>
        <w:tc>
          <w:tcPr>
            <w:tcW w:w="1250" w:type="dxa"/>
            <w:tcBorders>
              <w:tl2br w:val="nil"/>
              <w:tr2bl w:val="nil"/>
            </w:tcBorders>
            <w:shd w:val="clear" w:color="auto" w:fill="auto"/>
            <w:tcMar>
              <w:top w:w="54" w:type="dxa"/>
              <w:left w:w="108" w:type="dxa"/>
              <w:bottom w:w="54" w:type="dxa"/>
              <w:right w:w="108" w:type="dxa"/>
            </w:tcMar>
          </w:tcPr>
          <w:p>
            <w:pPr>
              <w:spacing w:line="360" w:lineRule="auto"/>
              <w:ind w:firstLine="240" w:firstLineChars="1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1952</w:t>
            </w:r>
          </w:p>
        </w:tc>
        <w:tc>
          <w:tcPr>
            <w:tcW w:w="1380" w:type="dxa"/>
            <w:tcBorders>
              <w:tl2br w:val="nil"/>
              <w:tr2bl w:val="nil"/>
            </w:tcBorders>
            <w:shd w:val="clear" w:color="auto" w:fill="auto"/>
            <w:tcMar>
              <w:top w:w="54" w:type="dxa"/>
              <w:left w:w="108" w:type="dxa"/>
              <w:bottom w:w="54" w:type="dxa"/>
              <w:right w:w="108" w:type="dxa"/>
            </w:tcMar>
          </w:tcPr>
          <w:p>
            <w:pPr>
              <w:spacing w:line="360" w:lineRule="auto"/>
              <w:ind w:firstLine="240" w:firstLineChars="1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1953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04" w:hRule="atLeast"/>
          <w:tblCellSpacing w:w="0" w:type="dxa"/>
        </w:trPr>
        <w:tc>
          <w:tcPr>
            <w:tcW w:w="1262" w:type="dxa"/>
            <w:tcBorders>
              <w:tl2br w:val="nil"/>
              <w:tr2bl w:val="nil"/>
            </w:tcBorders>
            <w:shd w:val="clear" w:color="auto" w:fill="auto"/>
            <w:tcMar>
              <w:top w:w="54" w:type="dxa"/>
              <w:left w:w="108" w:type="dxa"/>
              <w:bottom w:w="54" w:type="dxa"/>
              <w:right w:w="108" w:type="dxa"/>
            </w:tcMar>
          </w:tcPr>
          <w:p>
            <w:pPr>
              <w:spacing w:line="360" w:lineRule="auto"/>
              <w:ind w:left="240" w:hanging="240" w:hangingChars="1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建交国家</w:t>
            </w:r>
          </w:p>
        </w:tc>
        <w:tc>
          <w:tcPr>
            <w:tcW w:w="1010" w:type="dxa"/>
            <w:tcBorders>
              <w:tl2br w:val="nil"/>
              <w:tr2bl w:val="nil"/>
            </w:tcBorders>
            <w:shd w:val="clear" w:color="auto" w:fill="auto"/>
            <w:tcMar>
              <w:top w:w="54" w:type="dxa"/>
              <w:left w:w="108" w:type="dxa"/>
              <w:bottom w:w="54" w:type="dxa"/>
              <w:right w:w="108" w:type="dxa"/>
            </w:tcMar>
          </w:tcPr>
          <w:p>
            <w:pPr>
              <w:spacing w:line="360" w:lineRule="auto"/>
              <w:ind w:firstLine="480" w:firstLineChars="2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1</w:t>
            </w:r>
          </w:p>
        </w:tc>
        <w:tc>
          <w:tcPr>
            <w:tcW w:w="1250" w:type="dxa"/>
            <w:tcBorders>
              <w:tl2br w:val="nil"/>
              <w:tr2bl w:val="nil"/>
            </w:tcBorders>
            <w:shd w:val="clear" w:color="auto" w:fill="auto"/>
            <w:tcMar>
              <w:top w:w="54" w:type="dxa"/>
              <w:left w:w="108" w:type="dxa"/>
              <w:bottom w:w="54" w:type="dxa"/>
              <w:right w:w="108" w:type="dxa"/>
            </w:tcMar>
          </w:tcPr>
          <w:p>
            <w:pPr>
              <w:spacing w:line="360" w:lineRule="auto"/>
              <w:ind w:firstLine="480" w:firstLineChars="2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0</w:t>
            </w:r>
          </w:p>
        </w:tc>
        <w:tc>
          <w:tcPr>
            <w:tcW w:w="1380" w:type="dxa"/>
            <w:tcBorders>
              <w:tl2br w:val="nil"/>
              <w:tr2bl w:val="nil"/>
            </w:tcBorders>
            <w:shd w:val="clear" w:color="auto" w:fill="auto"/>
            <w:tcMar>
              <w:top w:w="54" w:type="dxa"/>
              <w:left w:w="108" w:type="dxa"/>
              <w:bottom w:w="54" w:type="dxa"/>
              <w:right w:w="108" w:type="dxa"/>
            </w:tcMar>
          </w:tcPr>
          <w:p>
            <w:pPr>
              <w:spacing w:line="360" w:lineRule="auto"/>
              <w:ind w:firstLine="480" w:firstLineChars="200"/>
              <w:jc w:val="center"/>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0</w:t>
            </w:r>
          </w:p>
        </w:tc>
      </w:tr>
    </w:tbl>
    <w:p>
      <w:pPr>
        <w:spacing w:line="360" w:lineRule="auto"/>
        <w:ind w:firstLine="482" w:firstLineChars="200"/>
        <w:rPr>
          <w:rFonts w:ascii="楷体" w:hAnsi="楷体" w:eastAsia="楷体" w:cs="楷体"/>
          <w:color w:val="171A1D"/>
          <w:sz w:val="24"/>
          <w:shd w:val="clear" w:color="auto" w:fill="FFFFFF"/>
          <w:vertAlign w:val="superscript"/>
        </w:rPr>
      </w:pPr>
      <w:r>
        <w:rPr>
          <w:rFonts w:hint="eastAsia" w:ascii="楷体" w:hAnsi="楷体" w:eastAsia="楷体" w:cs="楷体"/>
          <w:b/>
          <w:bCs/>
          <w:color w:val="171A1D"/>
          <w:sz w:val="24"/>
          <w:shd w:val="clear" w:color="auto" w:fill="FFFFFF"/>
        </w:rPr>
        <w:t>材料1：</w:t>
      </w:r>
      <w:r>
        <w:rPr>
          <w:rFonts w:ascii="楷体" w:hAnsi="楷体" w:eastAsia="楷体" w:cs="楷体"/>
          <w:color w:val="171A1D"/>
          <w:sz w:val="24"/>
          <w:shd w:val="clear" w:color="auto" w:fill="FFFFFF"/>
        </w:rPr>
        <w:t>抗美援朝发生以后，联合国大会于1951年2月通过正式决议，认定中国为侵略者，把中国作为破坏世界和平的国际叛徒从此中国长期被排斥于国际外交之外。1953年7月，美国参众两院先后通过决议共产党中国不应该接纳为联合国会员，并且确定一旦联合国恢复中国的代表权，美国将在下一次会议年度中停付会费。</w:t>
      </w:r>
      <w:r>
        <w:rPr>
          <w:rFonts w:ascii="楷体" w:hAnsi="楷体" w:eastAsia="楷体" w:cs="楷体"/>
          <w:color w:val="171A1D"/>
          <w:sz w:val="24"/>
          <w:shd w:val="clear" w:color="auto" w:fill="FFFFFF"/>
          <w:vertAlign w:val="superscript"/>
        </w:rPr>
        <w:t>[</w:t>
      </w:r>
      <w:r>
        <w:rPr>
          <w:rFonts w:ascii="楷体" w:hAnsi="楷体" w:eastAsia="楷体" w:cs="楷体"/>
          <w:color w:val="171A1D"/>
          <w:sz w:val="24"/>
          <w:shd w:val="clear" w:color="auto" w:fill="FFFFFF"/>
          <w:vertAlign w:val="superscript"/>
        </w:rPr>
        <w:endnoteReference w:id="5"/>
      </w:r>
      <w:r>
        <w:rPr>
          <w:rFonts w:ascii="楷体" w:hAnsi="楷体" w:eastAsia="楷体" w:cs="楷体"/>
          <w:color w:val="171A1D"/>
          <w:sz w:val="24"/>
          <w:shd w:val="clear" w:color="auto" w:fill="FFFFFF"/>
          <w:vertAlign w:val="superscript"/>
        </w:rPr>
        <w:t>]</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又如，为使学生更好地理解20世纪70年代中美两国走向“握手言和”的原因，分析影响中国外交方针调整的助推器，笔者设计了如下的一组问题链：</w:t>
      </w:r>
    </w:p>
    <w:p>
      <w:pPr>
        <w:spacing w:line="360" w:lineRule="auto"/>
        <w:ind w:firstLine="482" w:firstLineChars="200"/>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【问题链2】</w:t>
      </w:r>
      <w:r>
        <w:rPr>
          <w:rFonts w:hint="eastAsia" w:ascii="仿宋" w:hAnsi="仿宋" w:eastAsia="仿宋" w:cs="仿宋"/>
          <w:color w:val="171A1D"/>
          <w:sz w:val="24"/>
          <w:shd w:val="clear" w:color="auto" w:fill="FFFFFF"/>
        </w:rPr>
        <w:t>根据材料4并结合所学知识探究20世纪70年代中美关系走向“握手言和”的原因有哪些？以中美关系的变化原因为例，你认为影响国家外交方针调整的“助推器”主要有哪些？其中的关键因素是什么？</w:t>
      </w:r>
    </w:p>
    <w:p>
      <w:pPr>
        <w:spacing w:line="360" w:lineRule="auto"/>
        <w:ind w:firstLine="482" w:firstLineChars="200"/>
        <w:rPr>
          <w:rFonts w:ascii="仿宋" w:hAnsi="仿宋" w:eastAsia="仿宋" w:cs="仿宋"/>
          <w:color w:val="171A1D"/>
          <w:sz w:val="24"/>
          <w:shd w:val="clear" w:color="auto" w:fill="FFFFFF"/>
        </w:rPr>
      </w:pPr>
      <w:r>
        <w:rPr>
          <w:rFonts w:hint="eastAsia" w:ascii="楷体" w:hAnsi="楷体" w:eastAsia="楷体" w:cs="楷体"/>
          <w:b/>
          <w:bCs/>
          <w:color w:val="171A1D"/>
          <w:sz w:val="24"/>
          <w:shd w:val="clear" w:color="auto" w:fill="FFFFFF"/>
        </w:rPr>
        <w:t>材料2：</w:t>
      </w:r>
      <w:r>
        <w:rPr>
          <w:rFonts w:hint="eastAsia" w:ascii="楷体" w:hAnsi="楷体" w:eastAsia="楷体" w:cs="楷体"/>
          <w:color w:val="171A1D"/>
          <w:sz w:val="24"/>
          <w:shd w:val="clear" w:color="auto" w:fill="FFFFFF"/>
        </w:rPr>
        <w:t>尼克松：“我知道，1954年在日内瓦会议时杜勒斯拒绝同你握手，我很抱歉。因此当我走完梯级时决心首先伸出我的手。当我们的手相握时，一个时代结束了，另一个时代开始了。”周恩来：“总统先生，你把手伸过了世界上最辽阔的海洋来和我握手。25年没交往了啊！”</w:t>
      </w:r>
      <w:r>
        <w:rPr>
          <w:rStyle w:val="8"/>
          <w:rFonts w:hint="eastAsia" w:ascii="仿宋" w:hAnsi="仿宋" w:eastAsia="仿宋" w:cs="仿宋"/>
          <w:color w:val="171A1D"/>
          <w:sz w:val="24"/>
          <w:shd w:val="clear" w:color="auto" w:fill="FFFFFF"/>
        </w:rPr>
        <w:t>[</w:t>
      </w:r>
      <w:r>
        <w:rPr>
          <w:rStyle w:val="8"/>
          <w:rFonts w:hint="eastAsia" w:ascii="仿宋" w:hAnsi="仿宋" w:eastAsia="仿宋" w:cs="仿宋"/>
          <w:color w:val="171A1D"/>
          <w:sz w:val="24"/>
          <w:shd w:val="clear" w:color="auto" w:fill="FFFFFF"/>
        </w:rPr>
        <w:endnoteReference w:id="6"/>
      </w:r>
      <w:r>
        <w:rPr>
          <w:rStyle w:val="8"/>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t xml:space="preserve">  </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学生通过老师精心设计的“还原历史现场”，即尼克松与周恩来的对话，能够迅速产生历史的共情，神入历史现场。PPT呈现问题链探究任务，通过采取分组协作的互动方式，提炼原因，共同探究，总结概括，以小组派出代表回答基本可以说出。教师继续追问：那么影响国家外交方针调整的关键因素是什么？学生能说出是国家利益，综合国力，此时教师引导总结此时国际风云变幻，走向“握手言和”是中美两国出于自身的国家利益作出的战略调整。</w:t>
      </w:r>
    </w:p>
    <w:p>
      <w:pPr>
        <w:spacing w:line="360" w:lineRule="auto"/>
        <w:rPr>
          <w:rFonts w:ascii="仿宋" w:hAnsi="仿宋" w:eastAsia="仿宋" w:cs="仿宋"/>
          <w:b/>
          <w:bCs/>
          <w:color w:val="171A1D"/>
          <w:sz w:val="24"/>
          <w:shd w:val="clear" w:color="auto" w:fill="FFFFFF"/>
        </w:rPr>
      </w:pPr>
      <w:r>
        <w:rPr>
          <w:rFonts w:hint="eastAsia" w:ascii="仿宋" w:hAnsi="仿宋" w:eastAsia="仿宋" w:cs="仿宋"/>
          <w:b/>
          <w:bCs/>
          <w:color w:val="171A1D"/>
          <w:sz w:val="24"/>
          <w:shd w:val="clear" w:color="auto" w:fill="FFFFFF"/>
        </w:rPr>
        <w:t>3、拓展问题链</w:t>
      </w:r>
    </w:p>
    <w:p>
      <w:pPr>
        <w:spacing w:line="360" w:lineRule="auto"/>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 xml:space="preserve">  </w:t>
      </w:r>
      <w:r>
        <w:rPr>
          <w:rFonts w:hint="eastAsia" w:ascii="仿宋" w:hAnsi="仿宋" w:eastAsia="仿宋" w:cs="仿宋"/>
          <w:color w:val="171A1D"/>
          <w:sz w:val="24"/>
          <w:shd w:val="clear" w:color="auto" w:fill="FFFFFF"/>
        </w:rPr>
        <w:t>拓展问题链的设计主要出于对主题内容的升华与反思，同时涵育家国情怀，培养学生认清国际形势，始终与国家同呼吸、共命运的责任与担当。问题链以新时期中美关系“掰腕较量”切入，更容易激发起学生的探索欲望。第一问学生通过阅读教材即可找出十八大以来中国所取得的外交成就，比较简单，也落实了课本内容，自主学习即可完成。第二问设问的主体是学生，有助于培养学生积极思考自身与国家之间紧密联系的共情能力，充分理解在新时期构建的中美新型大国关系是不冲突、不对抗，相互尊重，合作共赢的；中国始终秉持独立自主的和平外交政策，应对纷繁复杂的国际关系，中国共产党始终将全世界人民的利益放在首位，坚持人类命运共同体的宏大信念。</w:t>
      </w:r>
    </w:p>
    <w:p>
      <w:pPr>
        <w:spacing w:line="360" w:lineRule="auto"/>
        <w:ind w:firstLine="482" w:firstLineChars="200"/>
        <w:rPr>
          <w:rFonts w:ascii="仿宋" w:hAnsi="仿宋" w:eastAsia="仿宋" w:cs="仿宋"/>
          <w:color w:val="171A1D"/>
          <w:sz w:val="24"/>
          <w:shd w:val="clear" w:color="auto" w:fill="FFFFFF"/>
        </w:rPr>
      </w:pPr>
      <w:r>
        <w:rPr>
          <w:rFonts w:hint="eastAsia" w:ascii="仿宋" w:hAnsi="仿宋" w:eastAsia="仿宋" w:cs="仿宋"/>
          <w:b/>
          <w:bCs/>
          <w:color w:val="171A1D"/>
          <w:sz w:val="24"/>
          <w:shd w:val="clear" w:color="auto" w:fill="FFFFFF"/>
        </w:rPr>
        <w:t>【问题链1】</w:t>
      </w:r>
      <w:r>
        <w:rPr>
          <w:rFonts w:hint="eastAsia" w:ascii="仿宋" w:hAnsi="仿宋" w:eastAsia="仿宋" w:cs="仿宋"/>
          <w:color w:val="171A1D"/>
          <w:sz w:val="24"/>
          <w:shd w:val="clear" w:color="auto" w:fill="FFFFFF"/>
        </w:rPr>
        <w:t xml:space="preserve">根据课本83页的内容和材料一，谈一谈十八大以来的中国特色大国外交表现在哪些方面？你认为新时期中美关系下的中国方案折射出我国哪些外交理念？面对世界百年未有之大变局，中国应该作出什么样的抉择？ </w:t>
      </w:r>
    </w:p>
    <w:p>
      <w:pPr>
        <w:spacing w:line="360" w:lineRule="auto"/>
        <w:ind w:firstLine="482" w:firstLineChars="200"/>
        <w:rPr>
          <w:rFonts w:ascii="楷体" w:hAnsi="楷体" w:eastAsia="楷体" w:cs="楷体"/>
          <w:color w:val="171A1D"/>
          <w:sz w:val="24"/>
          <w:shd w:val="clear" w:color="auto" w:fill="FFFFFF"/>
        </w:rPr>
      </w:pPr>
      <w:r>
        <w:rPr>
          <w:rFonts w:hint="eastAsia" w:ascii="楷体" w:hAnsi="楷体" w:eastAsia="楷体" w:cs="楷体"/>
          <w:b/>
          <w:bCs/>
          <w:color w:val="171A1D"/>
          <w:sz w:val="24"/>
          <w:shd w:val="clear" w:color="auto" w:fill="FFFFFF"/>
        </w:rPr>
        <w:t>材料1：</w:t>
      </w:r>
      <w:r>
        <w:rPr>
          <w:rFonts w:hint="eastAsia" w:ascii="楷体" w:hAnsi="楷体" w:eastAsia="楷体" w:cs="楷体"/>
          <w:color w:val="171A1D"/>
          <w:sz w:val="24"/>
          <w:shd w:val="clear" w:color="auto" w:fill="FFFFFF"/>
        </w:rPr>
        <w:t>中美新型大国关系从中国优秀传统文化的哲学思想、人文精神、道德理念出发，结合十八大以来领导集体所形成的安全观、文明观、发展观，为中美指出了一条不冲突、不对抗、相互尊重、合作共赢的之路。……中美新型大国关系用“中国智慧”提出了解决国际难题的“中国方案”。</w:t>
      </w:r>
    </w:p>
    <w:p>
      <w:pPr>
        <w:spacing w:line="360" w:lineRule="auto"/>
        <w:ind w:firstLine="482" w:firstLineChars="200"/>
        <w:rPr>
          <w:rFonts w:ascii="楷体" w:hAnsi="楷体" w:eastAsia="楷体" w:cs="楷体"/>
          <w:color w:val="171A1D"/>
          <w:sz w:val="24"/>
          <w:shd w:val="clear" w:color="auto" w:fill="FFFFFF"/>
        </w:rPr>
      </w:pPr>
      <w:r>
        <w:rPr>
          <w:rFonts w:hint="eastAsia" w:ascii="楷体" w:hAnsi="楷体" w:eastAsia="楷体" w:cs="楷体"/>
          <w:b/>
          <w:bCs/>
          <w:color w:val="171A1D"/>
          <w:sz w:val="24"/>
          <w:shd w:val="clear" w:color="auto" w:fill="FFFFFF"/>
        </w:rPr>
        <w:t>材料2：</w:t>
      </w:r>
      <w:r>
        <w:rPr>
          <w:rFonts w:hint="eastAsia" w:ascii="楷体" w:hAnsi="楷体" w:eastAsia="楷体" w:cs="楷体"/>
          <w:color w:val="171A1D"/>
          <w:sz w:val="24"/>
          <w:shd w:val="clear" w:color="auto" w:fill="FFFFFF"/>
        </w:rPr>
        <w:t>2015年，习近平访美时在欢迎晚宴上表示：中国崛起应避免陷入“修昔底德陷阱”，防止战略误判。强国只能追求霸权的主张不适用于中国，中国没有实施这种行动的基因。</w:t>
      </w:r>
    </w:p>
    <w:p>
      <w:pPr>
        <w:spacing w:line="360" w:lineRule="auto"/>
        <w:ind w:firstLine="482" w:firstLineChars="200"/>
        <w:rPr>
          <w:rFonts w:ascii="楷体" w:hAnsi="楷体" w:eastAsia="楷体" w:cs="楷体"/>
          <w:color w:val="171A1D"/>
          <w:sz w:val="24"/>
          <w:shd w:val="clear" w:color="auto" w:fill="FFFFFF"/>
        </w:rPr>
      </w:pPr>
      <w:r>
        <w:rPr>
          <w:rFonts w:hint="eastAsia" w:ascii="楷体" w:hAnsi="楷体" w:eastAsia="楷体" w:cs="楷体"/>
          <w:b/>
          <w:bCs/>
          <w:color w:val="171A1D"/>
          <w:sz w:val="24"/>
          <w:shd w:val="clear" w:color="auto" w:fill="FFFFFF"/>
        </w:rPr>
        <w:t>材料3：</w:t>
      </w:r>
      <w:r>
        <w:rPr>
          <w:rFonts w:ascii="楷体" w:hAnsi="楷体" w:eastAsia="楷体" w:cs="楷体"/>
          <w:color w:val="171A1D"/>
          <w:sz w:val="24"/>
          <w:shd w:val="clear" w:color="auto" w:fill="FFFFFF"/>
        </w:rPr>
        <w:t>习近平主席提出构建人类命运共同体，就是期望超越不同制度的分歧，摒弃零和博弈的思维，倡导和平、发展、公平、正义、民主、自由的全人类共同价值。</w:t>
      </w:r>
      <w:r>
        <w:rPr>
          <w:rFonts w:hint="eastAsia" w:ascii="楷体" w:hAnsi="楷体" w:eastAsia="楷体" w:cs="楷体"/>
          <w:color w:val="171A1D"/>
          <w:sz w:val="24"/>
          <w:shd w:val="clear" w:color="auto" w:fill="FFFFFF"/>
        </w:rPr>
        <w:t xml:space="preserve"> </w:t>
      </w:r>
    </w:p>
    <w:p>
      <w:pPr>
        <w:spacing w:line="360" w:lineRule="auto"/>
        <w:rPr>
          <w:rFonts w:ascii="黑体" w:hAnsi="黑体" w:eastAsia="黑体" w:cs="黑体"/>
          <w:color w:val="171A1D"/>
          <w:sz w:val="24"/>
          <w:shd w:val="clear" w:color="auto" w:fill="FFFFFF"/>
        </w:rPr>
      </w:pPr>
      <w:r>
        <w:rPr>
          <w:rFonts w:hint="eastAsia" w:ascii="黑体" w:hAnsi="黑体" w:eastAsia="黑体" w:cs="黑体"/>
          <w:color w:val="171A1D"/>
          <w:sz w:val="24"/>
          <w:shd w:val="clear" w:color="auto" w:fill="FFFFFF"/>
        </w:rPr>
        <w:t>三、教学反思、小结</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屈原在《天问》中提出将近一百余种问题，在当今素质教育之下，培养学生的问题意识、构建“问学课堂”已然迫在眉睫，而构建问学课堂离不开问题链的精心设计。设计有效的问题链不仅可以使学生产生极大的学习兴趣，而且将其高涨的情绪持续化，学生的获得感能得从中到极大提升，进而实现真正的深度学习。</w:t>
      </w:r>
    </w:p>
    <w:p>
      <w:pPr>
        <w:spacing w:line="360" w:lineRule="auto"/>
        <w:ind w:firstLine="480" w:firstLineChars="200"/>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因此，创设有效的问题链一定要充分关注每一位学生的兴趣点。在本课的教学过程中，笔者主要设计了导学问题链、探究问题链、拓展问题链展开教学，通过精心创设史料情境，还原“历史现场”，不断提出问题、分析问题、解决问题，促使学生展开深度学习。当然，在具体课堂实操过程中，也存在着引导不足、没有充分预留学生主动探索的时间，导致学生对材料的解读不够深入，史学逻辑思维不够舒展等问题。总之，基于深度学习，设计不同层级的问题链，有助于学生高阶思维和大局观的涵育，促使他们关注国家命运，实现历史学科核心素养的落地。</w:t>
      </w:r>
    </w:p>
    <w:sectPr>
      <w:headerReference r:id="rId4" w:type="first"/>
      <w:footerReference r:id="rId6" w:type="first"/>
      <w:footerReference r:id="rId5" w:type="default"/>
      <w:endnotePr>
        <w:numFmt w:val="decimal"/>
      </w:endnotePr>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r>
        <w:separator/>
      </w:r>
    </w:p>
  </w:endnote>
  <w:endnote w:type="continuationSeparator" w:id="15">
    <w:p>
      <w:r>
        <w:continuationSeparator/>
      </w:r>
    </w:p>
  </w:endnote>
  <w:endnote w:id="0">
    <w:p>
      <w:pPr>
        <w:jc w:val="left"/>
        <w:rPr>
          <w:rFonts w:ascii="微软雅黑" w:hAnsi="微软雅黑" w:eastAsia="微软雅黑" w:cs="微软雅黑"/>
          <w:color w:val="4D4D4D"/>
          <w:sz w:val="12"/>
          <w:szCs w:val="12"/>
          <w:shd w:val="clear" w:color="auto" w:fill="FFFFFF"/>
        </w:rPr>
      </w:pPr>
      <w:r>
        <w:rPr>
          <w:rFonts w:hint="eastAsia" w:ascii="仿宋" w:hAnsi="仿宋" w:eastAsia="仿宋" w:cs="仿宋"/>
          <w:b/>
          <w:bCs/>
          <w:color w:val="171A1D"/>
          <w:sz w:val="30"/>
          <w:szCs w:val="30"/>
          <w:shd w:val="clear" w:color="auto" w:fill="FFFFFF"/>
        </w:rPr>
        <w:t>【参考文献】</w:t>
      </w:r>
    </w:p>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 卢明，崔允漷主编：《教案的革命：基于课程标准的学历案》，上海：华东师范大学出版社， 2016年，第90页。</w:t>
      </w:r>
    </w:p>
  </w:endnote>
  <w:endnote w:id="1">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 徐蓝，朱汉国主编：普通高中历史课程标准（2017年版2020年修订）解读，北京：高等教育出版社, 2020年，第16页。</w:t>
      </w:r>
    </w:p>
  </w:endnote>
  <w:endnote w:id="2">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]浙江省教育厅教研室编：《浙江省普通高中学科教学指导意见》，杭州：浙江教育出版社，2021年版，第89页。</w:t>
      </w:r>
    </w:p>
  </w:endnote>
  <w:endnote w:id="3">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]中共中央文献研究室编：《毛泽东年谱》下卷，北京：中央文献出版社, 1993年，第466页。</w:t>
      </w:r>
    </w:p>
  </w:endnote>
  <w:endnote w:id="4">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]杨洋：基于问题链的高阶思维培养 ——以《冷战和国际格局演变》教学为例，《中学历史教学》,2022年第4期，第21页。</w:t>
      </w:r>
    </w:p>
  </w:endnote>
  <w:endnote w:id="5">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 沈志华编：《朝鲜战争俄国档案馆的解密文件》上，台北： 中央研究院近代史研究所, 2003年，第223页。</w:t>
      </w:r>
    </w:p>
  </w:endnote>
  <w:endnote w:id="6">
    <w:p>
      <w:pPr>
        <w:pStyle w:val="2"/>
        <w:rPr>
          <w:rFonts w:ascii="仿宋" w:hAnsi="仿宋" w:eastAsia="仿宋" w:cs="仿宋"/>
          <w:color w:val="171A1D"/>
          <w:sz w:val="24"/>
          <w:shd w:val="clear" w:color="auto" w:fill="FFFFFF"/>
        </w:rPr>
      </w:pPr>
      <w:r>
        <w:rPr>
          <w:rFonts w:hint="eastAsia" w:ascii="仿宋" w:hAnsi="仿宋" w:eastAsia="仿宋" w:cs="仿宋"/>
          <w:color w:val="171A1D"/>
          <w:sz w:val="24"/>
          <w:shd w:val="clear" w:color="auto" w:fill="FFFFFF"/>
        </w:rPr>
        <w:t>[</w:t>
      </w:r>
      <w:r>
        <w:rPr>
          <w:rFonts w:hint="eastAsia" w:ascii="仿宋" w:hAnsi="仿宋" w:eastAsia="仿宋" w:cs="仿宋"/>
          <w:color w:val="171A1D"/>
          <w:sz w:val="24"/>
          <w:shd w:val="clear" w:color="auto" w:fill="FFFFFF"/>
        </w:rPr>
        <w:endnoteRef/>
      </w:r>
      <w:r>
        <w:rPr>
          <w:rFonts w:hint="eastAsia" w:ascii="仿宋" w:hAnsi="仿宋" w:eastAsia="仿宋" w:cs="仿宋"/>
          <w:color w:val="171A1D"/>
          <w:sz w:val="24"/>
          <w:shd w:val="clear" w:color="auto" w:fill="FFFFFF"/>
        </w:rPr>
        <w:t>]（美）尼克松（R.Nixon）著；伍任译：《尼克松回忆录》上卷，北京：商务印书馆，1978年版。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7620</wp:posOffset>
              </wp:positionV>
              <wp:extent cx="3568065" cy="315595"/>
              <wp:effectExtent l="4445" t="4445" r="8890" b="10160"/>
              <wp:wrapNone/>
              <wp:docPr id="3" name="文本框 3"/>
              <wp:cNvGraphicFramePr/>
              <a:graphic xmlns:a="http://schemas.openxmlformats.org/drawingml/2006/main">
                <a:graphicData uri="http://schemas.microsoft.com/office/word/2010/wordprocessingShape">
                  <wps:wsp>
                    <wps:cNvSpPr txBox="1"/>
                    <wps:spPr>
                      <a:xfrm>
                        <a:off x="1127125" y="582295"/>
                        <a:ext cx="3568065" cy="315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宋体" w:eastAsia="仿宋_GB2312" w:cs="宋体"/>
                              <w:color w:val="auto"/>
                              <w:kern w:val="0"/>
                              <w:sz w:val="28"/>
                              <w:szCs w:val="28"/>
                              <w:highlight w:val="none"/>
                            </w:rPr>
                            <w:t>余杭区第28届专题论文评选高中历史学</w:t>
                          </w:r>
                          <w:r>
                            <w:rPr>
                              <w:rFonts w:hint="eastAsia" w:ascii="仿宋_GB2312" w:hAnsi="宋体" w:eastAsia="仿宋_GB2312" w:cs="宋体"/>
                              <w:color w:val="000000"/>
                              <w:kern w:val="0"/>
                              <w:sz w:val="28"/>
                              <w:szCs w:val="28"/>
                            </w:rPr>
                            <w:t>科</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0.6pt;height:24.85pt;width:280.95pt;z-index:251661312;mso-width-relative:page;mso-height-relative:page;" fillcolor="#FFFFFF [3201]" filled="t" stroked="t" coordsize="21600,21600" o:gfxdata="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MRrY0wAAAAYBAAAPAAAAAAAAAAEAIAAAACIAAABkcnMvZG93bnJldi54bWxQSwECFAAUAAAA&#10;CACHTuJALlOtgmUCAADCBAAADgAAAAAAAAABACAAAAAiAQAAZHJzL2Uyb0RvYy54bWxQSwUGAAAA&#10;AAYABgBZAQAA+QUAAAAA&#10;">
              <v:fill on="t" focussize="0,0"/>
              <v:stroke weight="0.5pt" color="#000000 [3204]" joinstyle="round"/>
              <v:imagedata o:title=""/>
              <o:lock v:ext="edit" aspectratio="f"/>
              <v:textbox>
                <w:txbxContent>
                  <w:p>
                    <w:pPr>
                      <w:pStyle w:val="4"/>
                    </w:pPr>
                    <w:r>
                      <w:rPr>
                        <w:rFonts w:hint="eastAsia" w:ascii="仿宋_GB2312" w:hAnsi="宋体" w:eastAsia="仿宋_GB2312" w:cs="宋体"/>
                        <w:color w:val="auto"/>
                        <w:kern w:val="0"/>
                        <w:sz w:val="28"/>
                        <w:szCs w:val="28"/>
                        <w:highlight w:val="none"/>
                      </w:rPr>
                      <w:t>余杭区第28届专题论文评选高中历史学</w:t>
                    </w:r>
                    <w:r>
                      <w:rPr>
                        <w:rFonts w:hint="eastAsia" w:ascii="仿宋_GB2312" w:hAnsi="宋体" w:eastAsia="仿宋_GB2312" w:cs="宋体"/>
                        <w:color w:val="000000"/>
                        <w:kern w:val="0"/>
                        <w:sz w:val="28"/>
                        <w:szCs w:val="28"/>
                      </w:rPr>
                      <w:t>科</w:t>
                    </w:r>
                  </w:p>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documentProtection w:enforcement="0"/>
  <w:defaultTabStop w:val="420"/>
  <w:drawingGridVerticalSpacing w:val="156"/>
  <w:noPunctuationKerning w:val="1"/>
  <w:characterSpacingControl w:val="compressPunctuation"/>
  <w:endnotePr>
    <w:numFmt w:val="decimal"/>
    <w:endnote w:id="14"/>
    <w:endnote w:id="15"/>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mIxYjExYmU1ZjBlZGY1MzE1NTI0Mjg2OWJmYjIifQ=="/>
  </w:docVars>
  <w:rsids>
    <w:rsidRoot w:val="74F63DE1"/>
    <w:rsid w:val="001F3C50"/>
    <w:rsid w:val="00E32CA5"/>
    <w:rsid w:val="00E57165"/>
    <w:rsid w:val="032A4C70"/>
    <w:rsid w:val="034817ED"/>
    <w:rsid w:val="035C6DF3"/>
    <w:rsid w:val="040E54B6"/>
    <w:rsid w:val="042C51F2"/>
    <w:rsid w:val="05540C61"/>
    <w:rsid w:val="06265752"/>
    <w:rsid w:val="06540EAE"/>
    <w:rsid w:val="0ADA341F"/>
    <w:rsid w:val="0B073AE9"/>
    <w:rsid w:val="0B106E41"/>
    <w:rsid w:val="0B422D73"/>
    <w:rsid w:val="0B567948"/>
    <w:rsid w:val="0BC35C62"/>
    <w:rsid w:val="0E016F15"/>
    <w:rsid w:val="0EF44384"/>
    <w:rsid w:val="0F1050BD"/>
    <w:rsid w:val="110A60E1"/>
    <w:rsid w:val="133236CD"/>
    <w:rsid w:val="13325849"/>
    <w:rsid w:val="133F3180"/>
    <w:rsid w:val="137D65DD"/>
    <w:rsid w:val="145C43BD"/>
    <w:rsid w:val="1571672E"/>
    <w:rsid w:val="16A20B69"/>
    <w:rsid w:val="17CC2A6A"/>
    <w:rsid w:val="17E551B2"/>
    <w:rsid w:val="1945415A"/>
    <w:rsid w:val="194D4555"/>
    <w:rsid w:val="19D84FCE"/>
    <w:rsid w:val="1B6F5412"/>
    <w:rsid w:val="1C485D0F"/>
    <w:rsid w:val="1C5B3C94"/>
    <w:rsid w:val="1DE657E0"/>
    <w:rsid w:val="202A02FB"/>
    <w:rsid w:val="20FF0DF3"/>
    <w:rsid w:val="21206477"/>
    <w:rsid w:val="24310887"/>
    <w:rsid w:val="2460453E"/>
    <w:rsid w:val="258424AE"/>
    <w:rsid w:val="25947B8E"/>
    <w:rsid w:val="25AE26A8"/>
    <w:rsid w:val="27147861"/>
    <w:rsid w:val="2BD31A99"/>
    <w:rsid w:val="2C29790B"/>
    <w:rsid w:val="2DFD2DFD"/>
    <w:rsid w:val="2E39523F"/>
    <w:rsid w:val="2EA811AC"/>
    <w:rsid w:val="2EEA15D4"/>
    <w:rsid w:val="2F866E22"/>
    <w:rsid w:val="306D24E7"/>
    <w:rsid w:val="333E64B3"/>
    <w:rsid w:val="33FD3B57"/>
    <w:rsid w:val="35AD52A1"/>
    <w:rsid w:val="36E56B24"/>
    <w:rsid w:val="36F074E0"/>
    <w:rsid w:val="370E1BD7"/>
    <w:rsid w:val="3814321D"/>
    <w:rsid w:val="38B95B73"/>
    <w:rsid w:val="38EC419A"/>
    <w:rsid w:val="39845F52"/>
    <w:rsid w:val="3BAD4181"/>
    <w:rsid w:val="3C1934F8"/>
    <w:rsid w:val="3C9414E1"/>
    <w:rsid w:val="3D632705"/>
    <w:rsid w:val="3E6F38A3"/>
    <w:rsid w:val="3FF760EB"/>
    <w:rsid w:val="452151DE"/>
    <w:rsid w:val="45BB7ADF"/>
    <w:rsid w:val="465D2233"/>
    <w:rsid w:val="494322D1"/>
    <w:rsid w:val="4A35773F"/>
    <w:rsid w:val="4B751DCD"/>
    <w:rsid w:val="4C854292"/>
    <w:rsid w:val="4DC332C4"/>
    <w:rsid w:val="4DF5641C"/>
    <w:rsid w:val="4E04568A"/>
    <w:rsid w:val="4E0C3DEB"/>
    <w:rsid w:val="4E597784"/>
    <w:rsid w:val="4F22401A"/>
    <w:rsid w:val="504B2EFC"/>
    <w:rsid w:val="506A211C"/>
    <w:rsid w:val="508366F6"/>
    <w:rsid w:val="50E21CB3"/>
    <w:rsid w:val="516923D4"/>
    <w:rsid w:val="55D834D2"/>
    <w:rsid w:val="56A60B50"/>
    <w:rsid w:val="573B036F"/>
    <w:rsid w:val="584E5742"/>
    <w:rsid w:val="589F492D"/>
    <w:rsid w:val="58FA6008"/>
    <w:rsid w:val="5A0802B0"/>
    <w:rsid w:val="5A595B82"/>
    <w:rsid w:val="5A5E1E2E"/>
    <w:rsid w:val="5B2C0905"/>
    <w:rsid w:val="5C974299"/>
    <w:rsid w:val="5D92680F"/>
    <w:rsid w:val="60144E14"/>
    <w:rsid w:val="60AC2E84"/>
    <w:rsid w:val="60AE40F7"/>
    <w:rsid w:val="6180612F"/>
    <w:rsid w:val="62DA4EE0"/>
    <w:rsid w:val="641206A9"/>
    <w:rsid w:val="648B13AF"/>
    <w:rsid w:val="656522D1"/>
    <w:rsid w:val="667967BE"/>
    <w:rsid w:val="669E657C"/>
    <w:rsid w:val="6716400D"/>
    <w:rsid w:val="697119CE"/>
    <w:rsid w:val="6BA02A3F"/>
    <w:rsid w:val="6FC33BA9"/>
    <w:rsid w:val="70910FB0"/>
    <w:rsid w:val="72693B8A"/>
    <w:rsid w:val="73587B6C"/>
    <w:rsid w:val="747D391D"/>
    <w:rsid w:val="74F63DE1"/>
    <w:rsid w:val="753B10E2"/>
    <w:rsid w:val="764364A0"/>
    <w:rsid w:val="76CE0460"/>
    <w:rsid w:val="772935CB"/>
    <w:rsid w:val="77A318EC"/>
    <w:rsid w:val="78177BE5"/>
    <w:rsid w:val="782236A8"/>
    <w:rsid w:val="78857244"/>
    <w:rsid w:val="7B354F51"/>
    <w:rsid w:val="7B6F6F55"/>
    <w:rsid w:val="7B7742B6"/>
    <w:rsid w:val="7CCF6CE0"/>
    <w:rsid w:val="7E7C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nd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4204</Words>
  <Characters>4247</Characters>
  <DocSecurity>0</DocSecurity>
  <Lines>30</Lines>
  <Paragraphs>8</Paragraphs>
  <ScaleCrop>false</ScaleCrop>
  <LinksUpToDate>false</LinksUpToDate>
  <CharactersWithSpaces>4273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2022-12-05T01:48:00Z</dcterms:created>
  <dcterms:modified xsi:type="dcterms:W3CDTF">2023-03-08T08:18:33Z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AAD7B9758B564F8A86016F167C0B1E24</vt:lpwstr>
  </property>
</Properties>
</file>