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7FA" w:rsidRPr="000477FA" w:rsidRDefault="000477FA" w:rsidP="000477FA">
      <w:pPr>
        <w:widowControl/>
        <w:jc w:val="center"/>
        <w:rPr>
          <w:rFonts w:ascii="微软雅黑" w:eastAsia="微软雅黑" w:hAnsi="微软雅黑" w:cs="宋体"/>
          <w:b/>
          <w:bCs/>
          <w:color w:val="000000"/>
          <w:kern w:val="0"/>
          <w:sz w:val="24"/>
          <w:szCs w:val="24"/>
        </w:rPr>
      </w:pPr>
      <w:r w:rsidRPr="000477FA">
        <w:rPr>
          <w:rFonts w:ascii="微软雅黑" w:eastAsia="微软雅黑" w:hAnsi="微软雅黑" w:cs="宋体" w:hint="eastAsia"/>
          <w:b/>
          <w:bCs/>
          <w:color w:val="000000"/>
          <w:kern w:val="0"/>
          <w:sz w:val="24"/>
          <w:szCs w:val="24"/>
        </w:rPr>
        <w:t>《地理3（必修）》编写说明</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b/>
          <w:bCs/>
          <w:color w:val="000000"/>
          <w:kern w:val="0"/>
        </w:rPr>
        <w:t>一、在高中地理教材体系中的地位</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color w:val="000000"/>
          <w:kern w:val="0"/>
          <w:szCs w:val="21"/>
        </w:rPr>
        <w:t>以区域研究为基础的区域地理学，是地理学中古老且实用性强的研究领域之一。除区域地理外，地理学其他方面的研究也是以区域研究为基础，并且将研究成果应用于区域研究。故可以认为地理学习的最终目标不是学习地理环境各要素，而是要落实在区域之上，落实在不同区域地理环境各要素相互作用的不同模式之上，落实在人类对不同地区合理开发利用之上。因此，作为高中地理课程三个必修模块之一，本模块侧重区域地理的研究领域，立足于模块一自然地理、模块二人文地理的基础，以区域发展中面临的问题为核心，探究问题发生的原因、过程、结果和对策，体现区域可持续发展的思想。</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b/>
          <w:bCs/>
          <w:color w:val="000000"/>
          <w:kern w:val="0"/>
        </w:rPr>
        <w:t>二、与义务教育新课标区域地理教材的衔接和对现行高中教材的继承</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color w:val="000000"/>
          <w:kern w:val="0"/>
          <w:szCs w:val="21"/>
        </w:rPr>
        <w:t>正在实验过程中的义教新课标教材（七、八年级共四册），是以区域地理的教学内容为主体。教材编写的指导思想主要是引导学生了解区域差异，接触区域研究的基本方法和技能。而高中地理教学显然应该在此基础上，引导学生从更高层次上去认识区域。因此，本册教材也着意从纵深加大区域地理信息量的强度、探究的难度和思维的力度。</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color w:val="000000"/>
          <w:kern w:val="0"/>
          <w:szCs w:val="21"/>
        </w:rPr>
        <w:t>根据2002年4月颁布的全日制普通高级中学《地理教学大纲》的要求，中国国土整治与区域发展的案例作为选修的内容在教材中得以呈现。这种课程设置方式无疑为今天区域地理成为高中必修模块的教学内容作好了铺垫。因此，本册教材也充分继承了现行高中地理教材的许多特点，并在此基础上进一步扩展和完善。</w:t>
      </w:r>
    </w:p>
    <w:p w:rsidR="000477FA" w:rsidRPr="000477FA" w:rsidRDefault="000477FA" w:rsidP="000477FA">
      <w:pPr>
        <w:widowControl/>
        <w:spacing w:line="330" w:lineRule="atLeast"/>
        <w:ind w:firstLine="480"/>
        <w:jc w:val="center"/>
        <w:rPr>
          <w:rFonts w:ascii="宋体" w:eastAsia="宋体" w:hAnsi="宋体" w:cs="宋体" w:hint="eastAsia"/>
          <w:color w:val="000000"/>
          <w:kern w:val="0"/>
          <w:szCs w:val="21"/>
        </w:rPr>
      </w:pPr>
      <w:r w:rsidRPr="000477FA">
        <w:rPr>
          <w:rFonts w:ascii="宋体" w:eastAsia="宋体" w:hAnsi="宋体" w:cs="宋体" w:hint="eastAsia"/>
          <w:b/>
          <w:bCs/>
          <w:color w:val="000000"/>
          <w:kern w:val="0"/>
        </w:rPr>
        <w:t>人教版现行高中教材地理选修第二册</w:t>
      </w:r>
    </w:p>
    <w:p w:rsidR="000477FA" w:rsidRPr="000477FA" w:rsidRDefault="000477FA" w:rsidP="000477FA">
      <w:pPr>
        <w:widowControl/>
        <w:spacing w:line="330" w:lineRule="atLeast"/>
        <w:ind w:firstLine="480"/>
        <w:jc w:val="center"/>
        <w:rPr>
          <w:rFonts w:ascii="宋体" w:eastAsia="宋体" w:hAnsi="宋体" w:cs="宋体" w:hint="eastAsia"/>
          <w:color w:val="000000"/>
          <w:kern w:val="0"/>
          <w:szCs w:val="21"/>
        </w:rPr>
      </w:pPr>
      <w:r w:rsidRPr="000477FA">
        <w:rPr>
          <w:rFonts w:ascii="宋体" w:eastAsia="宋体" w:hAnsi="宋体" w:cs="宋体" w:hint="eastAsia"/>
          <w:b/>
          <w:bCs/>
          <w:color w:val="000000"/>
          <w:kern w:val="0"/>
        </w:rPr>
        <w:t>与新编实验教材必修地理3的对比</w:t>
      </w:r>
    </w:p>
    <w:tbl>
      <w:tblPr>
        <w:tblW w:w="0" w:type="auto"/>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4261"/>
        <w:gridCol w:w="4261"/>
      </w:tblGrid>
      <w:tr w:rsidR="000477FA" w:rsidRPr="000477FA" w:rsidTr="000477FA">
        <w:trPr>
          <w:jc w:val="center"/>
        </w:trPr>
        <w:tc>
          <w:tcPr>
            <w:tcW w:w="426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center"/>
              <w:rPr>
                <w:rFonts w:ascii="宋体" w:eastAsia="宋体" w:hAnsi="宋体" w:cs="宋体"/>
                <w:kern w:val="0"/>
                <w:sz w:val="24"/>
                <w:szCs w:val="24"/>
              </w:rPr>
            </w:pPr>
            <w:r w:rsidRPr="000477FA">
              <w:rPr>
                <w:rFonts w:ascii="宋体" w:eastAsia="宋体" w:hAnsi="宋体" w:cs="宋体" w:hint="eastAsia"/>
                <w:kern w:val="0"/>
                <w:sz w:val="18"/>
                <w:szCs w:val="18"/>
              </w:rPr>
              <w:t>相同点</w:t>
            </w:r>
          </w:p>
        </w:tc>
        <w:tc>
          <w:tcPr>
            <w:tcW w:w="42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center"/>
              <w:rPr>
                <w:rFonts w:ascii="宋体" w:eastAsia="宋体" w:hAnsi="宋体" w:cs="宋体"/>
                <w:kern w:val="0"/>
                <w:sz w:val="24"/>
                <w:szCs w:val="24"/>
              </w:rPr>
            </w:pPr>
            <w:r w:rsidRPr="000477FA">
              <w:rPr>
                <w:rFonts w:ascii="宋体" w:eastAsia="宋体" w:hAnsi="宋体" w:cs="宋体" w:hint="eastAsia"/>
                <w:kern w:val="0"/>
                <w:sz w:val="18"/>
                <w:szCs w:val="18"/>
              </w:rPr>
              <w:t>不同点</w:t>
            </w:r>
          </w:p>
        </w:tc>
      </w:tr>
      <w:tr w:rsidR="000477FA" w:rsidRPr="000477FA" w:rsidTr="000477FA">
        <w:trPr>
          <w:jc w:val="center"/>
        </w:trPr>
        <w:tc>
          <w:tcPr>
            <w:tcW w:w="426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●以真实的典型案例分析的方式来组织教材</w:t>
            </w:r>
          </w:p>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●以问题（关注问题——分析问题——探讨解决问题的方案）的线索来整合教材内容</w:t>
            </w:r>
          </w:p>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●叙述过程中始终贯穿区域可持续发展的思想</w:t>
            </w:r>
          </w:p>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●设置“活动”等小栏目活跃教材呈现形式，突出教学的探究性</w:t>
            </w:r>
          </w:p>
        </w:tc>
        <w:tc>
          <w:tcPr>
            <w:tcW w:w="42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●根据课标要求，在案例的选择上，实验教材不仅仅关注我国的区域发展问题，也选用了部分国外的案例</w:t>
            </w:r>
          </w:p>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●现行教材重点关注的是我国的国土整治问题和部分区域发展案例，而实验教材完全从区域发展的角度选择典型案例</w:t>
            </w:r>
          </w:p>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●实验教材在“活动”等栏目的设计上更加突出设问的层次性和递进性，更注重活动的可操作性</w:t>
            </w:r>
          </w:p>
        </w:tc>
      </w:tr>
    </w:tbl>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b/>
          <w:bCs/>
          <w:color w:val="000000"/>
          <w:kern w:val="0"/>
        </w:rPr>
        <w:t>三、框架设计</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color w:val="000000"/>
          <w:kern w:val="0"/>
          <w:szCs w:val="21"/>
        </w:rPr>
        <w:t>本册教材共5章10节。以区域科学为理论基础，以区域可持续发展为目标，本着由自然至经济、由区域内至区域间的学习思路设计知识结构，对课程标准中规定的内容进行重新组合，依次分为“地理环境与区域发展”“区域生态环境建设”“区域自然资源综合开发利用”“区域经济发展”“区际联系与区域协调发展”等。</w:t>
      </w:r>
    </w:p>
    <w:p w:rsidR="000477FA" w:rsidRPr="000477FA" w:rsidRDefault="000477FA" w:rsidP="000477FA">
      <w:pPr>
        <w:widowControl/>
        <w:spacing w:line="330" w:lineRule="atLeast"/>
        <w:ind w:firstLine="480"/>
        <w:jc w:val="center"/>
        <w:rPr>
          <w:rFonts w:ascii="宋体" w:eastAsia="宋体" w:hAnsi="宋体" w:cs="宋体" w:hint="eastAsia"/>
          <w:color w:val="000000"/>
          <w:kern w:val="0"/>
          <w:szCs w:val="21"/>
        </w:rPr>
      </w:pPr>
      <w:r>
        <w:rPr>
          <w:rFonts w:ascii="宋体" w:eastAsia="宋体" w:hAnsi="宋体" w:cs="宋体"/>
          <w:noProof/>
          <w:color w:val="000000"/>
          <w:kern w:val="0"/>
          <w:szCs w:val="21"/>
        </w:rPr>
        <w:drawing>
          <wp:inline distT="0" distB="0" distL="0" distR="0">
            <wp:extent cx="2219325" cy="2257371"/>
            <wp:effectExtent l="19050" t="0" r="9525" b="0"/>
            <wp:docPr id="1" name="图片 1" descr="http://old.pep.com.cn/oldimages/pic_2321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ld.pep.com.cn/oldimages/pic_232116.gif"/>
                    <pic:cNvPicPr>
                      <a:picLocks noChangeAspect="1" noChangeArrowheads="1"/>
                    </pic:cNvPicPr>
                  </pic:nvPicPr>
                  <pic:blipFill>
                    <a:blip r:embed="rId4" cstate="print"/>
                    <a:srcRect/>
                    <a:stretch>
                      <a:fillRect/>
                    </a:stretch>
                  </pic:blipFill>
                  <pic:spPr bwMode="auto">
                    <a:xfrm>
                      <a:off x="0" y="0"/>
                      <a:ext cx="2219325" cy="2257371"/>
                    </a:xfrm>
                    <a:prstGeom prst="rect">
                      <a:avLst/>
                    </a:prstGeom>
                    <a:noFill/>
                    <a:ln w="9525">
                      <a:noFill/>
                      <a:miter lim="800000"/>
                      <a:headEnd/>
                      <a:tailEnd/>
                    </a:ln>
                  </pic:spPr>
                </pic:pic>
              </a:graphicData>
            </a:graphic>
          </wp:inline>
        </w:drawing>
      </w:r>
    </w:p>
    <w:p w:rsidR="000477FA" w:rsidRPr="000477FA" w:rsidRDefault="000477FA" w:rsidP="000477FA">
      <w:pPr>
        <w:widowControl/>
        <w:spacing w:line="330" w:lineRule="atLeast"/>
        <w:ind w:firstLine="480"/>
        <w:jc w:val="center"/>
        <w:rPr>
          <w:rFonts w:ascii="宋体" w:eastAsia="宋体" w:hAnsi="宋体" w:cs="宋体" w:hint="eastAsia"/>
          <w:color w:val="000000"/>
          <w:kern w:val="0"/>
          <w:szCs w:val="21"/>
        </w:rPr>
      </w:pPr>
      <w:r w:rsidRPr="000477FA">
        <w:rPr>
          <w:rFonts w:ascii="宋体" w:eastAsia="宋体" w:hAnsi="宋体" w:cs="宋体" w:hint="eastAsia"/>
          <w:color w:val="000000"/>
          <w:kern w:val="0"/>
          <w:szCs w:val="21"/>
        </w:rPr>
        <w:t>全书内容结构示意</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b/>
          <w:bCs/>
          <w:color w:val="000000"/>
          <w:kern w:val="0"/>
        </w:rPr>
        <w:t>四、内容编排特色</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color w:val="000000"/>
          <w:kern w:val="0"/>
          <w:szCs w:val="21"/>
        </w:rPr>
        <w:lastRenderedPageBreak/>
        <w:t>1.按照《课程标准》的要求，全书以典型案例分析的方法组织教材，除第一章外，其他章的各节内容都冠以“以XX区域为案例”的副标题。但是，在教材内容的组织方面，为方便教学，基于“进得去，跳得出”的编写思路，还将通过典型案例分析适当地体现出区域研究的一般方法和思路，力求“见事见理”。</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color w:val="000000"/>
          <w:kern w:val="0"/>
          <w:szCs w:val="21"/>
        </w:rPr>
        <w:t>2.在本册教材的案例选择标准上，主要基于这样一些考虑。</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color w:val="000000"/>
          <w:kern w:val="0"/>
          <w:szCs w:val="21"/>
        </w:rPr>
        <w:t>●案例的真实性。为了真正体现地理学的实用价值，教材的取材密切联系社会实际，关注社会问题，有时代感。教材中案例所涉及材料都力求真实、权威、可靠。</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color w:val="000000"/>
          <w:kern w:val="0"/>
          <w:szCs w:val="21"/>
        </w:rPr>
        <w:t>●案例的典型性。这里有两层含义，首先是所选主题的典型性，如在区域生态环境建设的领域里，我们选择了荒漠化的防治、森林的开发和保护这样两个更有世界性意义的主题。其次是所选区域的典型性，如我国西北地区的荒漠化状况在世界上是较为严重的，我国政府在荒漠化的防治上也做出了卓有成效的努力，因此教材选用我国西北地区作为荒漠化防治的案例。而巴西亚马孙地区的热带雨林是地球上现存面积最大、保存比较完整的一片原始森林，其开发和保护受到世界各国的普遍关注，故教材选做案例。</w:t>
      </w:r>
    </w:p>
    <w:tbl>
      <w:tblPr>
        <w:tblW w:w="7308"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2268"/>
        <w:gridCol w:w="5040"/>
      </w:tblGrid>
      <w:tr w:rsidR="000477FA" w:rsidRPr="000477FA" w:rsidTr="000477FA">
        <w:trPr>
          <w:jc w:val="center"/>
        </w:trPr>
        <w:tc>
          <w:tcPr>
            <w:tcW w:w="226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center"/>
              <w:rPr>
                <w:rFonts w:ascii="宋体" w:eastAsia="宋体" w:hAnsi="宋体" w:cs="宋体"/>
                <w:kern w:val="0"/>
                <w:sz w:val="24"/>
                <w:szCs w:val="24"/>
              </w:rPr>
            </w:pPr>
            <w:r w:rsidRPr="000477FA">
              <w:rPr>
                <w:rFonts w:ascii="宋体" w:eastAsia="宋体" w:hAnsi="宋体" w:cs="宋体" w:hint="eastAsia"/>
                <w:kern w:val="0"/>
                <w:sz w:val="18"/>
                <w:szCs w:val="18"/>
              </w:rPr>
              <w:t>案例</w:t>
            </w:r>
          </w:p>
        </w:tc>
        <w:tc>
          <w:tcPr>
            <w:tcW w:w="50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center"/>
              <w:rPr>
                <w:rFonts w:ascii="宋体" w:eastAsia="宋体" w:hAnsi="宋体" w:cs="宋体"/>
                <w:kern w:val="0"/>
                <w:sz w:val="24"/>
                <w:szCs w:val="24"/>
              </w:rPr>
            </w:pPr>
            <w:r w:rsidRPr="000477FA">
              <w:rPr>
                <w:rFonts w:ascii="宋体" w:eastAsia="宋体" w:hAnsi="宋体" w:cs="宋体" w:hint="eastAsia"/>
                <w:kern w:val="0"/>
                <w:sz w:val="18"/>
                <w:szCs w:val="18"/>
              </w:rPr>
              <w:t>选材原因</w:t>
            </w:r>
          </w:p>
        </w:tc>
      </w:tr>
      <w:tr w:rsidR="000477FA" w:rsidRPr="000477FA" w:rsidTr="000477FA">
        <w:trPr>
          <w:jc w:val="center"/>
        </w:trPr>
        <w:tc>
          <w:tcPr>
            <w:tcW w:w="22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以我国西北地区为例谈荒漠化的防治</w:t>
            </w:r>
          </w:p>
        </w:tc>
        <w:tc>
          <w:tcPr>
            <w:tcW w:w="50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我国西北地区是世界上荒漠化较为典型和严重的地区；我国政府在荒漠化的治理上也做出了卓有成效的努力</w:t>
            </w:r>
          </w:p>
        </w:tc>
      </w:tr>
      <w:tr w:rsidR="000477FA" w:rsidRPr="000477FA" w:rsidTr="000477FA">
        <w:trPr>
          <w:jc w:val="center"/>
        </w:trPr>
        <w:tc>
          <w:tcPr>
            <w:tcW w:w="22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以亚马孙热带雨林为例谈森林的开发和保护</w:t>
            </w:r>
          </w:p>
        </w:tc>
        <w:tc>
          <w:tcPr>
            <w:tcW w:w="50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巴西亚马孙地区的热带雨林是地球上现存面积最大、保存比较完整的一片原始森林；近年来巴西雨林开发和保护问题受到世界各国的普遍关注</w:t>
            </w:r>
          </w:p>
        </w:tc>
      </w:tr>
      <w:tr w:rsidR="000477FA" w:rsidRPr="000477FA" w:rsidTr="000477FA">
        <w:trPr>
          <w:jc w:val="center"/>
        </w:trPr>
        <w:tc>
          <w:tcPr>
            <w:tcW w:w="22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以我国山西省为例谈能源资源的开发</w:t>
            </w:r>
          </w:p>
        </w:tc>
        <w:tc>
          <w:tcPr>
            <w:tcW w:w="50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我国是世界能源消费大国；煤炭是我国的主要消费能源；山西省煤炭储量和产量都在全国首屈一指，而以省级行政区为单位建立能源基地又是全国仅见</w:t>
            </w:r>
          </w:p>
        </w:tc>
      </w:tr>
      <w:tr w:rsidR="000477FA" w:rsidRPr="000477FA" w:rsidTr="000477FA">
        <w:trPr>
          <w:jc w:val="center"/>
        </w:trPr>
        <w:tc>
          <w:tcPr>
            <w:tcW w:w="22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以美国田纳西河流域为例谈流域的综合开发</w:t>
            </w:r>
          </w:p>
        </w:tc>
        <w:tc>
          <w:tcPr>
            <w:tcW w:w="50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田纳西河流域是世界上较早以现代综合理念进行流域开发的范例（始于</w:t>
            </w:r>
            <w:r w:rsidRPr="000477FA">
              <w:rPr>
                <w:rFonts w:ascii="Times New Roman" w:eastAsia="宋体" w:hAnsi="Times New Roman" w:cs="Times New Roman"/>
                <w:kern w:val="0"/>
                <w:sz w:val="18"/>
                <w:szCs w:val="18"/>
              </w:rPr>
              <w:t>20</w:t>
            </w:r>
            <w:r w:rsidRPr="000477FA">
              <w:rPr>
                <w:rFonts w:ascii="宋体" w:eastAsia="宋体" w:hAnsi="宋体" w:cs="宋体" w:hint="eastAsia"/>
                <w:kern w:val="0"/>
                <w:sz w:val="18"/>
                <w:szCs w:val="18"/>
              </w:rPr>
              <w:t>世纪</w:t>
            </w:r>
            <w:r w:rsidRPr="000477FA">
              <w:rPr>
                <w:rFonts w:ascii="Times New Roman" w:eastAsia="宋体" w:hAnsi="Times New Roman" w:cs="Times New Roman"/>
                <w:kern w:val="0"/>
                <w:sz w:val="18"/>
                <w:szCs w:val="18"/>
              </w:rPr>
              <w:t>30</w:t>
            </w:r>
            <w:r w:rsidRPr="000477FA">
              <w:rPr>
                <w:rFonts w:ascii="宋体" w:eastAsia="宋体" w:hAnsi="宋体" w:cs="宋体" w:hint="eastAsia"/>
                <w:kern w:val="0"/>
                <w:sz w:val="18"/>
                <w:szCs w:val="18"/>
              </w:rPr>
              <w:t>年代）；在田纳西河流域管理局（</w:t>
            </w:r>
            <w:r w:rsidRPr="000477FA">
              <w:rPr>
                <w:rFonts w:ascii="Times New Roman" w:eastAsia="宋体" w:hAnsi="Times New Roman" w:cs="Times New Roman"/>
                <w:kern w:val="0"/>
                <w:sz w:val="18"/>
                <w:szCs w:val="18"/>
              </w:rPr>
              <w:t>TVA</w:t>
            </w:r>
            <w:r w:rsidRPr="000477FA">
              <w:rPr>
                <w:rFonts w:ascii="宋体" w:eastAsia="宋体" w:hAnsi="宋体" w:cs="宋体" w:hint="eastAsia"/>
                <w:kern w:val="0"/>
                <w:sz w:val="18"/>
                <w:szCs w:val="18"/>
              </w:rPr>
              <w:t>）的协调下，整套体系运行了大半个世纪，积累了相当宝贵的经验，现在依然发挥着重要作用，具有极其现实的意义</w:t>
            </w:r>
          </w:p>
        </w:tc>
      </w:tr>
      <w:tr w:rsidR="000477FA" w:rsidRPr="000477FA" w:rsidTr="000477FA">
        <w:trPr>
          <w:jc w:val="center"/>
        </w:trPr>
        <w:tc>
          <w:tcPr>
            <w:tcW w:w="22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以我国东北地区为例来谈区域农业发展</w:t>
            </w:r>
          </w:p>
        </w:tc>
        <w:tc>
          <w:tcPr>
            <w:tcW w:w="50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我国是世界农业大国；东北地区是我国自然资源丰富、多民族融合、开发历史近似、经济联系密切、经济实力比较雄厚的大经济地域</w:t>
            </w:r>
          </w:p>
        </w:tc>
      </w:tr>
      <w:tr w:rsidR="000477FA" w:rsidRPr="000477FA" w:rsidTr="000477FA">
        <w:trPr>
          <w:jc w:val="center"/>
        </w:trPr>
        <w:tc>
          <w:tcPr>
            <w:tcW w:w="22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以我国珠江三角洲为例谈区域的工业化和城市化</w:t>
            </w:r>
          </w:p>
        </w:tc>
        <w:tc>
          <w:tcPr>
            <w:tcW w:w="50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我国东南沿海地区是近</w:t>
            </w:r>
            <w:r w:rsidRPr="000477FA">
              <w:rPr>
                <w:rFonts w:ascii="Times New Roman" w:eastAsia="宋体" w:hAnsi="Times New Roman" w:cs="Times New Roman"/>
                <w:kern w:val="0"/>
                <w:sz w:val="18"/>
                <w:szCs w:val="18"/>
              </w:rPr>
              <w:t>20</w:t>
            </w:r>
            <w:r w:rsidRPr="000477FA">
              <w:rPr>
                <w:rFonts w:ascii="宋体" w:eastAsia="宋体" w:hAnsi="宋体" w:cs="宋体" w:hint="eastAsia"/>
                <w:kern w:val="0"/>
                <w:sz w:val="18"/>
                <w:szCs w:val="18"/>
              </w:rPr>
              <w:t>年以来东亚乃至世界工业化和城市化最为活跃的区域之一；珠江三角洲是我国改革开放以后，得益于优惠政策而迅速推进工业化和城市化的地区</w:t>
            </w:r>
          </w:p>
        </w:tc>
      </w:tr>
      <w:tr w:rsidR="000477FA" w:rsidRPr="000477FA" w:rsidTr="000477FA">
        <w:trPr>
          <w:jc w:val="center"/>
        </w:trPr>
        <w:tc>
          <w:tcPr>
            <w:tcW w:w="22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以我国的西气东输工程为例谈资源的跨区域调配</w:t>
            </w:r>
          </w:p>
        </w:tc>
        <w:tc>
          <w:tcPr>
            <w:tcW w:w="50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我国国土幅员辽阔，区域发展水平与资源的赋存条件极度不平衡；跨区域调配资源是近年来我国国民生活中普遍关注的重要事件；西气东输工程是我国正在建设的大型资源跨区域调配工程之一</w:t>
            </w:r>
          </w:p>
        </w:tc>
      </w:tr>
      <w:tr w:rsidR="000477FA" w:rsidRPr="000477FA" w:rsidTr="000477FA">
        <w:trPr>
          <w:jc w:val="center"/>
        </w:trPr>
        <w:tc>
          <w:tcPr>
            <w:tcW w:w="22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以东亚为例谈产业转移</w:t>
            </w:r>
          </w:p>
        </w:tc>
        <w:tc>
          <w:tcPr>
            <w:tcW w:w="50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近半个世纪以来，东亚是国际产业转移最活跃的区域之一</w:t>
            </w:r>
          </w:p>
        </w:tc>
      </w:tr>
    </w:tbl>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color w:val="000000"/>
          <w:kern w:val="0"/>
          <w:szCs w:val="21"/>
        </w:rPr>
        <w:t>●案例的中外兼顾。《课程标准》要求本模块至少选择3个中国案例，1个外国案例。根据所确定主题的具体情况，教材选用了5个国内案例、2个国外案例、1个地区案例（东亚地区）。适当地兼顾到中外不同层次和不同特色的区域。</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color w:val="000000"/>
          <w:kern w:val="0"/>
          <w:szCs w:val="21"/>
        </w:rPr>
        <w:t>3.采用典型案例分析的方式组织教材，为避免导致学生“以偏盖全”“以点代面”，在每个区域案例具体展开之前，教材都安排了一部分概括性的文字。这些文字的功能是为了说明一些基本的概念、原理，分析某一类区域发展问题的由来和总体表现等。然后再切入某个具体区域，分析问题产生的背景、影响和解决的方案等。</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color w:val="000000"/>
          <w:kern w:val="0"/>
          <w:szCs w:val="21"/>
        </w:rPr>
        <w:t>4.教材各章内容并不拘泥于副标题所限的地区，而是以此为分析问题的基础，就某一个主题向其他区域延伸。例如第二章第一节“荒漠化的防治──以我国西北地区为例”，案例扩展到西非萨赫勒地区的荒漠化；第三章第二节“河流的综合开发──以美国田纳西河流域为例”，案例扩展到澳大利亚墨累-达令河流域的开发。教材内容如此“收”“放”有致的设计，一方面减少单一案例分析可能带来的某种局限性，另一方面提供了知识和能力迁移的平台。</w:t>
      </w:r>
    </w:p>
    <w:p w:rsidR="000477FA" w:rsidRPr="000477FA" w:rsidRDefault="000477FA" w:rsidP="000477FA">
      <w:pPr>
        <w:widowControl/>
        <w:spacing w:line="330" w:lineRule="atLeast"/>
        <w:ind w:firstLine="480"/>
        <w:jc w:val="center"/>
        <w:rPr>
          <w:rFonts w:ascii="宋体" w:eastAsia="宋体" w:hAnsi="宋体" w:cs="宋体" w:hint="eastAsia"/>
          <w:color w:val="000000"/>
          <w:kern w:val="0"/>
          <w:szCs w:val="21"/>
        </w:rPr>
      </w:pPr>
      <w:r w:rsidRPr="000477FA">
        <w:rPr>
          <w:rFonts w:ascii="宋体" w:eastAsia="宋体" w:hAnsi="宋体" w:cs="宋体" w:hint="eastAsia"/>
          <w:b/>
          <w:bCs/>
          <w:color w:val="000000"/>
          <w:kern w:val="0"/>
        </w:rPr>
        <w:lastRenderedPageBreak/>
        <w:t>教材中内容延伸情况一览</w:t>
      </w:r>
    </w:p>
    <w:tbl>
      <w:tblPr>
        <w:tblW w:w="0" w:type="auto"/>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2268"/>
        <w:gridCol w:w="2160"/>
        <w:gridCol w:w="3060"/>
      </w:tblGrid>
      <w:tr w:rsidR="000477FA" w:rsidRPr="000477FA" w:rsidTr="000477FA">
        <w:trPr>
          <w:jc w:val="center"/>
        </w:trPr>
        <w:tc>
          <w:tcPr>
            <w:tcW w:w="226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主题</w:t>
            </w:r>
          </w:p>
        </w:tc>
        <w:tc>
          <w:tcPr>
            <w:tcW w:w="21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主要分析区域或事例</w:t>
            </w:r>
          </w:p>
        </w:tc>
        <w:tc>
          <w:tcPr>
            <w:tcW w:w="30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延伸地区或内容</w:t>
            </w:r>
          </w:p>
        </w:tc>
      </w:tr>
      <w:tr w:rsidR="000477FA" w:rsidRPr="000477FA" w:rsidTr="000477FA">
        <w:trPr>
          <w:jc w:val="center"/>
        </w:trPr>
        <w:tc>
          <w:tcPr>
            <w:tcW w:w="22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荒漠化</w:t>
            </w:r>
          </w:p>
        </w:tc>
        <w:tc>
          <w:tcPr>
            <w:tcW w:w="21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我国西北地区</w:t>
            </w:r>
          </w:p>
        </w:tc>
        <w:tc>
          <w:tcPr>
            <w:tcW w:w="30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非洲萨赫勒地区；前苏联垦荒区</w:t>
            </w:r>
          </w:p>
        </w:tc>
      </w:tr>
      <w:tr w:rsidR="000477FA" w:rsidRPr="000477FA" w:rsidTr="000477FA">
        <w:trPr>
          <w:jc w:val="center"/>
        </w:trPr>
        <w:tc>
          <w:tcPr>
            <w:tcW w:w="22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森林的保护和开发</w:t>
            </w:r>
          </w:p>
        </w:tc>
        <w:tc>
          <w:tcPr>
            <w:tcW w:w="21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亚马孙热带雨林</w:t>
            </w:r>
          </w:p>
        </w:tc>
        <w:tc>
          <w:tcPr>
            <w:tcW w:w="30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西双版纳雨林生态农业</w:t>
            </w:r>
          </w:p>
        </w:tc>
      </w:tr>
      <w:tr w:rsidR="000477FA" w:rsidRPr="000477FA" w:rsidTr="000477FA">
        <w:trPr>
          <w:jc w:val="center"/>
        </w:trPr>
        <w:tc>
          <w:tcPr>
            <w:tcW w:w="22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能源资源的开发</w:t>
            </w:r>
          </w:p>
        </w:tc>
        <w:tc>
          <w:tcPr>
            <w:tcW w:w="21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山西省</w:t>
            </w:r>
          </w:p>
        </w:tc>
        <w:tc>
          <w:tcPr>
            <w:tcW w:w="30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内蒙古东部地区</w:t>
            </w:r>
          </w:p>
        </w:tc>
      </w:tr>
      <w:tr w:rsidR="000477FA" w:rsidRPr="000477FA" w:rsidTr="000477FA">
        <w:trPr>
          <w:jc w:val="center"/>
        </w:trPr>
        <w:tc>
          <w:tcPr>
            <w:tcW w:w="22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河流的综合开发</w:t>
            </w:r>
          </w:p>
        </w:tc>
        <w:tc>
          <w:tcPr>
            <w:tcW w:w="21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美国田纳西河流域</w:t>
            </w:r>
          </w:p>
        </w:tc>
        <w:tc>
          <w:tcPr>
            <w:tcW w:w="30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澳大利亚墨累</w:t>
            </w:r>
            <w:r w:rsidRPr="000477FA">
              <w:rPr>
                <w:rFonts w:ascii="Times New Roman" w:eastAsia="宋体" w:hAnsi="Times New Roman" w:cs="Times New Roman"/>
                <w:kern w:val="0"/>
                <w:sz w:val="18"/>
                <w:szCs w:val="18"/>
              </w:rPr>
              <w:t>-</w:t>
            </w:r>
            <w:r w:rsidRPr="000477FA">
              <w:rPr>
                <w:rFonts w:ascii="宋体" w:eastAsia="宋体" w:hAnsi="宋体" w:cs="宋体" w:hint="eastAsia"/>
                <w:kern w:val="0"/>
                <w:sz w:val="18"/>
                <w:szCs w:val="18"/>
              </w:rPr>
              <w:t>达令河流域；俄罗斯伏尔加河</w:t>
            </w:r>
          </w:p>
        </w:tc>
      </w:tr>
      <w:tr w:rsidR="000477FA" w:rsidRPr="000477FA" w:rsidTr="000477FA">
        <w:trPr>
          <w:jc w:val="center"/>
        </w:trPr>
        <w:tc>
          <w:tcPr>
            <w:tcW w:w="22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区域农业发展</w:t>
            </w:r>
          </w:p>
        </w:tc>
        <w:tc>
          <w:tcPr>
            <w:tcW w:w="21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我国东北地区</w:t>
            </w:r>
          </w:p>
        </w:tc>
        <w:tc>
          <w:tcPr>
            <w:tcW w:w="30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长江三角洲地区；美国玉米带；珠江三角洲地区</w:t>
            </w:r>
          </w:p>
        </w:tc>
      </w:tr>
      <w:tr w:rsidR="000477FA" w:rsidRPr="000477FA" w:rsidTr="000477FA">
        <w:trPr>
          <w:jc w:val="center"/>
        </w:trPr>
        <w:tc>
          <w:tcPr>
            <w:tcW w:w="22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区域工业化与城市化</w:t>
            </w:r>
          </w:p>
        </w:tc>
        <w:tc>
          <w:tcPr>
            <w:tcW w:w="21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我国珠江三角洲地区</w:t>
            </w:r>
          </w:p>
        </w:tc>
        <w:tc>
          <w:tcPr>
            <w:tcW w:w="30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长江三角洲地区；全国其他地区的城市化模式</w:t>
            </w:r>
          </w:p>
        </w:tc>
      </w:tr>
      <w:tr w:rsidR="000477FA" w:rsidRPr="000477FA" w:rsidTr="000477FA">
        <w:trPr>
          <w:jc w:val="center"/>
        </w:trPr>
        <w:tc>
          <w:tcPr>
            <w:tcW w:w="22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资源的跨区域调配</w:t>
            </w:r>
          </w:p>
        </w:tc>
        <w:tc>
          <w:tcPr>
            <w:tcW w:w="21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我国西气东输工程</w:t>
            </w:r>
          </w:p>
        </w:tc>
        <w:tc>
          <w:tcPr>
            <w:tcW w:w="30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西电东送工程</w:t>
            </w:r>
          </w:p>
        </w:tc>
      </w:tr>
      <w:tr w:rsidR="000477FA" w:rsidRPr="000477FA" w:rsidTr="000477FA">
        <w:trPr>
          <w:jc w:val="center"/>
        </w:trPr>
        <w:tc>
          <w:tcPr>
            <w:tcW w:w="22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产业转移</w:t>
            </w:r>
          </w:p>
        </w:tc>
        <w:tc>
          <w:tcPr>
            <w:tcW w:w="21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宋体" w:eastAsia="宋体" w:hAnsi="宋体" w:cs="宋体" w:hint="eastAsia"/>
                <w:kern w:val="0"/>
                <w:sz w:val="18"/>
                <w:szCs w:val="18"/>
              </w:rPr>
              <w:t>东亚地区</w:t>
            </w:r>
          </w:p>
        </w:tc>
        <w:tc>
          <w:tcPr>
            <w:tcW w:w="30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77FA" w:rsidRPr="000477FA" w:rsidRDefault="000477FA" w:rsidP="000477FA">
            <w:pPr>
              <w:widowControl/>
              <w:spacing w:line="270" w:lineRule="atLeast"/>
              <w:jc w:val="left"/>
              <w:rPr>
                <w:rFonts w:ascii="宋体" w:eastAsia="宋体" w:hAnsi="宋体" w:cs="宋体"/>
                <w:kern w:val="0"/>
                <w:sz w:val="24"/>
                <w:szCs w:val="24"/>
              </w:rPr>
            </w:pPr>
            <w:r w:rsidRPr="000477FA">
              <w:rPr>
                <w:rFonts w:ascii="Times New Roman" w:eastAsia="宋体" w:hAnsi="Times New Roman" w:cs="Times New Roman"/>
                <w:kern w:val="0"/>
                <w:sz w:val="18"/>
                <w:szCs w:val="18"/>
              </w:rPr>
              <w:t> </w:t>
            </w:r>
          </w:p>
        </w:tc>
      </w:tr>
    </w:tbl>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b/>
          <w:bCs/>
          <w:color w:val="000000"/>
          <w:kern w:val="0"/>
        </w:rPr>
        <w:t>五、需要说明的几个问题</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color w:val="000000"/>
          <w:kern w:val="0"/>
          <w:szCs w:val="21"/>
        </w:rPr>
        <w:t>●“地理信息技术应用”在《课程标准》中有四条“标准”，教材用一节的篇幅介绍并安排在第一章，主要基于以下考虑：（1）这部分内容单设了一门选修课；（2）无论必修还是选修，各册教材都或多或少地涉及此方面的内容，本册教材没有必要做过多的介绍；（3）从全书知识结构来看，单列一章不顺，而在别的内容中顺带写出又难以完成“标准”的要求。故而相对集中地单列一节在此呈现。</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color w:val="000000"/>
          <w:kern w:val="0"/>
          <w:szCs w:val="21"/>
        </w:rPr>
        <w:t>●“资源跨区域调配”和“产业转移”在《课程标准》中安排在第一部分。教材把这部分内容单列一章并安排在最后一章，从加强区际联系和区域协调发展的角度，使学生的学习视角从区域内扩大到区域间。</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color w:val="000000"/>
          <w:kern w:val="0"/>
          <w:szCs w:val="21"/>
        </w:rPr>
        <w:t>●为体现大区域的农业发展以及课标中规定的“区域农业布局特点”，教材选择东北地区作为案例，所取的区域范围包括东北三省和内蒙古自治区的东部。珠江三角洲的基塘农业被称为生态农业的范例，但是许多专家认为基塘农业不适宜作大区域农业发展的案例。教材考虑到这方面的意见，在“区域农业发展”一节的最后，提供相关材料引导学生认识基塘生产。</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color w:val="000000"/>
          <w:kern w:val="0"/>
          <w:szCs w:val="21"/>
        </w:rPr>
        <w:t>●对于“以某区域为例，分析该区域存在的环境与发展问题，诸如水土流失、荒漠化等发生的原因，森林、湿地等开发利用存在的问题，了解其危害和综合治理保护措施”这条标准，教材以荒漠化和森林为案例作说明。由于水土流失问题和荒漠化问题有许多共性的地方，教材未单讲水土流失问题；湿地的问题教材在第二章后的“问题研究”（为什么停止开发“北大荒”）中予以体现。</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color w:val="000000"/>
          <w:kern w:val="0"/>
          <w:szCs w:val="21"/>
        </w:rPr>
        <w:t>●由于本册教材全书都以典型案例分析的方式来组织教材，故与其他两个必修模块相比，没有专门开辟“案例”这样一个栏目。但在案例的选择原则和以案例教学的过程进行内容设计的思路上，与全套教材是保持一致的。</w:t>
      </w:r>
    </w:p>
    <w:p w:rsidR="000477FA" w:rsidRPr="000477FA" w:rsidRDefault="000477FA" w:rsidP="000477FA">
      <w:pPr>
        <w:widowControl/>
        <w:spacing w:line="330" w:lineRule="atLeast"/>
        <w:ind w:firstLine="480"/>
        <w:jc w:val="left"/>
        <w:rPr>
          <w:rFonts w:ascii="宋体" w:eastAsia="宋体" w:hAnsi="宋体" w:cs="宋体" w:hint="eastAsia"/>
          <w:color w:val="000000"/>
          <w:kern w:val="0"/>
          <w:szCs w:val="21"/>
        </w:rPr>
      </w:pPr>
      <w:r w:rsidRPr="000477FA">
        <w:rPr>
          <w:rFonts w:ascii="宋体" w:eastAsia="宋体" w:hAnsi="宋体" w:cs="宋体" w:hint="eastAsia"/>
          <w:color w:val="000000"/>
          <w:kern w:val="0"/>
          <w:szCs w:val="21"/>
        </w:rPr>
        <w:t>●区域可持续发展是本册教材贯穿始终的主题和目标。尽管在大的逻辑结构上教材将内容整合为环境、资源、经济、区域间协作等几部分来呈现，但在每部分内容的具体讲述中，关注经济效益、社会效益和生态效益的平衡，倡导区域的可持续发展是教材一直贯彻的主导思想。如教材在“能源资源的开发”一节，有“环境的保护与治理”的专题内容；在“河流综合开发”一节，关注流域的综合利用的价值（包括经济、社会和生态三种效益的结合）；在“区域农业发展”一节，关注区域农业可持续发展方向的选择；在“区域工业化和城市化”一节中，关注区域工业化和城市化过程中，如何解决“城市建设相对落后”和“生态环境问题日益严重”的问题。在“资源的跨区域调配”一节中，关注“西气东输”工程对东西部地区的经济、社会和环境效益的影响；在“产业转移”一节中，关注产业转移对区域经济、区域环境、劳动力就业等区域社会状况的影响。</w:t>
      </w:r>
    </w:p>
    <w:p w:rsidR="00B02AFC" w:rsidRPr="000477FA" w:rsidRDefault="00B02AFC" w:rsidP="000477FA">
      <w:pPr>
        <w:rPr>
          <w:szCs w:val="21"/>
        </w:rPr>
      </w:pPr>
    </w:p>
    <w:sectPr w:rsidR="00B02AFC" w:rsidRPr="000477FA" w:rsidSect="00B02AFC">
      <w:pgSz w:w="11906" w:h="16838"/>
      <w:pgMar w:top="851" w:right="851" w:bottom="851" w:left="90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02AFC"/>
    <w:rsid w:val="000477FA"/>
    <w:rsid w:val="003D6B25"/>
    <w:rsid w:val="006D3CC0"/>
    <w:rsid w:val="00B02AFC"/>
    <w:rsid w:val="00B17544"/>
    <w:rsid w:val="00E172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B2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02AF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477FA"/>
    <w:rPr>
      <w:b/>
      <w:bCs/>
    </w:rPr>
  </w:style>
  <w:style w:type="paragraph" w:styleId="a5">
    <w:name w:val="Balloon Text"/>
    <w:basedOn w:val="a"/>
    <w:link w:val="Char"/>
    <w:uiPriority w:val="99"/>
    <w:semiHidden/>
    <w:unhideWhenUsed/>
    <w:rsid w:val="000477FA"/>
    <w:rPr>
      <w:sz w:val="18"/>
      <w:szCs w:val="18"/>
    </w:rPr>
  </w:style>
  <w:style w:type="character" w:customStyle="1" w:styleId="Char">
    <w:name w:val="批注框文本 Char"/>
    <w:basedOn w:val="a0"/>
    <w:link w:val="a5"/>
    <w:uiPriority w:val="99"/>
    <w:semiHidden/>
    <w:rsid w:val="000477FA"/>
    <w:rPr>
      <w:sz w:val="18"/>
      <w:szCs w:val="18"/>
    </w:rPr>
  </w:style>
</w:styles>
</file>

<file path=word/webSettings.xml><?xml version="1.0" encoding="utf-8"?>
<w:webSettings xmlns:r="http://schemas.openxmlformats.org/officeDocument/2006/relationships" xmlns:w="http://schemas.openxmlformats.org/wordprocessingml/2006/main">
  <w:divs>
    <w:div w:id="29768019">
      <w:bodyDiv w:val="1"/>
      <w:marLeft w:val="0"/>
      <w:marRight w:val="0"/>
      <w:marTop w:val="0"/>
      <w:marBottom w:val="0"/>
      <w:divBdr>
        <w:top w:val="none" w:sz="0" w:space="0" w:color="auto"/>
        <w:left w:val="none" w:sz="0" w:space="0" w:color="auto"/>
        <w:bottom w:val="none" w:sz="0" w:space="0" w:color="auto"/>
        <w:right w:val="none" w:sz="0" w:space="0" w:color="auto"/>
      </w:divBdr>
      <w:divsChild>
        <w:div w:id="2130661047">
          <w:marLeft w:val="0"/>
          <w:marRight w:val="0"/>
          <w:marTop w:val="300"/>
          <w:marBottom w:val="150"/>
          <w:divBdr>
            <w:top w:val="none" w:sz="0" w:space="0" w:color="auto"/>
            <w:left w:val="none" w:sz="0" w:space="0" w:color="auto"/>
            <w:bottom w:val="none" w:sz="0" w:space="0" w:color="auto"/>
            <w:right w:val="none" w:sz="0" w:space="0" w:color="auto"/>
          </w:divBdr>
        </w:div>
        <w:div w:id="25638362">
          <w:marLeft w:val="0"/>
          <w:marRight w:val="0"/>
          <w:marTop w:val="300"/>
          <w:marBottom w:val="300"/>
          <w:divBdr>
            <w:top w:val="none" w:sz="0" w:space="0" w:color="auto"/>
            <w:left w:val="none" w:sz="0" w:space="0" w:color="auto"/>
            <w:bottom w:val="none" w:sz="0" w:space="0" w:color="auto"/>
            <w:right w:val="none" w:sz="0" w:space="0" w:color="auto"/>
          </w:divBdr>
          <w:divsChild>
            <w:div w:id="164157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146537">
      <w:bodyDiv w:val="1"/>
      <w:marLeft w:val="0"/>
      <w:marRight w:val="0"/>
      <w:marTop w:val="0"/>
      <w:marBottom w:val="0"/>
      <w:divBdr>
        <w:top w:val="none" w:sz="0" w:space="0" w:color="auto"/>
        <w:left w:val="none" w:sz="0" w:space="0" w:color="auto"/>
        <w:bottom w:val="none" w:sz="0" w:space="0" w:color="auto"/>
        <w:right w:val="none" w:sz="0" w:space="0" w:color="auto"/>
      </w:divBdr>
      <w:divsChild>
        <w:div w:id="1675494080">
          <w:marLeft w:val="0"/>
          <w:marRight w:val="0"/>
          <w:marTop w:val="300"/>
          <w:marBottom w:val="150"/>
          <w:divBdr>
            <w:top w:val="none" w:sz="0" w:space="0" w:color="auto"/>
            <w:left w:val="none" w:sz="0" w:space="0" w:color="auto"/>
            <w:bottom w:val="none" w:sz="0" w:space="0" w:color="auto"/>
            <w:right w:val="none" w:sz="0" w:space="0" w:color="auto"/>
          </w:divBdr>
        </w:div>
        <w:div w:id="274556340">
          <w:marLeft w:val="0"/>
          <w:marRight w:val="0"/>
          <w:marTop w:val="150"/>
          <w:marBottom w:val="150"/>
          <w:divBdr>
            <w:top w:val="none" w:sz="0" w:space="0" w:color="auto"/>
            <w:left w:val="none" w:sz="0" w:space="0" w:color="auto"/>
            <w:bottom w:val="none" w:sz="0" w:space="0" w:color="auto"/>
            <w:right w:val="none" w:sz="0" w:space="0" w:color="auto"/>
          </w:divBdr>
        </w:div>
        <w:div w:id="1956860027">
          <w:marLeft w:val="0"/>
          <w:marRight w:val="0"/>
          <w:marTop w:val="300"/>
          <w:marBottom w:val="300"/>
          <w:divBdr>
            <w:top w:val="none" w:sz="0" w:space="0" w:color="auto"/>
            <w:left w:val="none" w:sz="0" w:space="0" w:color="auto"/>
            <w:bottom w:val="none" w:sz="0" w:space="0" w:color="auto"/>
            <w:right w:val="none" w:sz="0" w:space="0" w:color="auto"/>
          </w:divBdr>
          <w:divsChild>
            <w:div w:id="107389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701227">
      <w:bodyDiv w:val="1"/>
      <w:marLeft w:val="0"/>
      <w:marRight w:val="0"/>
      <w:marTop w:val="0"/>
      <w:marBottom w:val="0"/>
      <w:divBdr>
        <w:top w:val="none" w:sz="0" w:space="0" w:color="auto"/>
        <w:left w:val="none" w:sz="0" w:space="0" w:color="auto"/>
        <w:bottom w:val="none" w:sz="0" w:space="0" w:color="auto"/>
        <w:right w:val="none" w:sz="0" w:space="0" w:color="auto"/>
      </w:divBdr>
      <w:divsChild>
        <w:div w:id="413279896">
          <w:marLeft w:val="0"/>
          <w:marRight w:val="0"/>
          <w:marTop w:val="300"/>
          <w:marBottom w:val="150"/>
          <w:divBdr>
            <w:top w:val="none" w:sz="0" w:space="0" w:color="auto"/>
            <w:left w:val="none" w:sz="0" w:space="0" w:color="auto"/>
            <w:bottom w:val="none" w:sz="0" w:space="0" w:color="auto"/>
            <w:right w:val="none" w:sz="0" w:space="0" w:color="auto"/>
          </w:divBdr>
        </w:div>
        <w:div w:id="1915387498">
          <w:marLeft w:val="0"/>
          <w:marRight w:val="0"/>
          <w:marTop w:val="300"/>
          <w:marBottom w:val="300"/>
          <w:divBdr>
            <w:top w:val="none" w:sz="0" w:space="0" w:color="auto"/>
            <w:left w:val="none" w:sz="0" w:space="0" w:color="auto"/>
            <w:bottom w:val="none" w:sz="0" w:space="0" w:color="auto"/>
            <w:right w:val="none" w:sz="0" w:space="0" w:color="auto"/>
          </w:divBdr>
          <w:divsChild>
            <w:div w:id="51992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885627">
      <w:bodyDiv w:val="1"/>
      <w:marLeft w:val="0"/>
      <w:marRight w:val="0"/>
      <w:marTop w:val="0"/>
      <w:marBottom w:val="0"/>
      <w:divBdr>
        <w:top w:val="none" w:sz="0" w:space="0" w:color="auto"/>
        <w:left w:val="none" w:sz="0" w:space="0" w:color="auto"/>
        <w:bottom w:val="none" w:sz="0" w:space="0" w:color="auto"/>
        <w:right w:val="none" w:sz="0" w:space="0" w:color="auto"/>
      </w:divBdr>
      <w:divsChild>
        <w:div w:id="812411201">
          <w:marLeft w:val="0"/>
          <w:marRight w:val="0"/>
          <w:marTop w:val="300"/>
          <w:marBottom w:val="150"/>
          <w:divBdr>
            <w:top w:val="none" w:sz="0" w:space="0" w:color="auto"/>
            <w:left w:val="none" w:sz="0" w:space="0" w:color="auto"/>
            <w:bottom w:val="none" w:sz="0" w:space="0" w:color="auto"/>
            <w:right w:val="none" w:sz="0" w:space="0" w:color="auto"/>
          </w:divBdr>
        </w:div>
        <w:div w:id="180121440">
          <w:marLeft w:val="0"/>
          <w:marRight w:val="0"/>
          <w:marTop w:val="150"/>
          <w:marBottom w:val="150"/>
          <w:divBdr>
            <w:top w:val="none" w:sz="0" w:space="0" w:color="auto"/>
            <w:left w:val="none" w:sz="0" w:space="0" w:color="auto"/>
            <w:bottom w:val="none" w:sz="0" w:space="0" w:color="auto"/>
            <w:right w:val="none" w:sz="0" w:space="0" w:color="auto"/>
          </w:divBdr>
        </w:div>
        <w:div w:id="1850288930">
          <w:marLeft w:val="0"/>
          <w:marRight w:val="0"/>
          <w:marTop w:val="300"/>
          <w:marBottom w:val="300"/>
          <w:divBdr>
            <w:top w:val="none" w:sz="0" w:space="0" w:color="auto"/>
            <w:left w:val="none" w:sz="0" w:space="0" w:color="auto"/>
            <w:bottom w:val="none" w:sz="0" w:space="0" w:color="auto"/>
            <w:right w:val="none" w:sz="0" w:space="0" w:color="auto"/>
          </w:divBdr>
          <w:divsChild>
            <w:div w:id="154193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554896">
      <w:bodyDiv w:val="1"/>
      <w:marLeft w:val="0"/>
      <w:marRight w:val="0"/>
      <w:marTop w:val="0"/>
      <w:marBottom w:val="0"/>
      <w:divBdr>
        <w:top w:val="none" w:sz="0" w:space="0" w:color="auto"/>
        <w:left w:val="none" w:sz="0" w:space="0" w:color="auto"/>
        <w:bottom w:val="none" w:sz="0" w:space="0" w:color="auto"/>
        <w:right w:val="none" w:sz="0" w:space="0" w:color="auto"/>
      </w:divBdr>
      <w:divsChild>
        <w:div w:id="201947043">
          <w:marLeft w:val="0"/>
          <w:marRight w:val="0"/>
          <w:marTop w:val="300"/>
          <w:marBottom w:val="150"/>
          <w:divBdr>
            <w:top w:val="none" w:sz="0" w:space="0" w:color="auto"/>
            <w:left w:val="none" w:sz="0" w:space="0" w:color="auto"/>
            <w:bottom w:val="none" w:sz="0" w:space="0" w:color="auto"/>
            <w:right w:val="none" w:sz="0" w:space="0" w:color="auto"/>
          </w:divBdr>
        </w:div>
        <w:div w:id="1728331917">
          <w:marLeft w:val="0"/>
          <w:marRight w:val="0"/>
          <w:marTop w:val="150"/>
          <w:marBottom w:val="150"/>
          <w:divBdr>
            <w:top w:val="none" w:sz="0" w:space="0" w:color="auto"/>
            <w:left w:val="none" w:sz="0" w:space="0" w:color="auto"/>
            <w:bottom w:val="none" w:sz="0" w:space="0" w:color="auto"/>
            <w:right w:val="none" w:sz="0" w:space="0" w:color="auto"/>
          </w:divBdr>
        </w:div>
        <w:div w:id="1728651899">
          <w:marLeft w:val="0"/>
          <w:marRight w:val="0"/>
          <w:marTop w:val="300"/>
          <w:marBottom w:val="300"/>
          <w:divBdr>
            <w:top w:val="none" w:sz="0" w:space="0" w:color="auto"/>
            <w:left w:val="none" w:sz="0" w:space="0" w:color="auto"/>
            <w:bottom w:val="none" w:sz="0" w:space="0" w:color="auto"/>
            <w:right w:val="none" w:sz="0" w:space="0" w:color="auto"/>
          </w:divBdr>
          <w:divsChild>
            <w:div w:id="2222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605</Words>
  <Characters>3452</Characters>
  <Application>Microsoft Office Word</Application>
  <DocSecurity>0</DocSecurity>
  <Lines>28</Lines>
  <Paragraphs>8</Paragraphs>
  <ScaleCrop>false</ScaleCrop>
  <Company/>
  <LinksUpToDate>false</LinksUpToDate>
  <CharactersWithSpaces>4049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李玉军</dc:creator>
  <cp:lastModifiedBy>李玉军</cp:lastModifiedBy>
  <cp:revision>2</cp:revision>
  <dcterms:created xsi:type="dcterms:W3CDTF">2019-06-21T09:17:00Z</dcterms:created>
  <dcterms:modified xsi:type="dcterms:W3CDTF">2019-06-21T09:17:00Z</dcterms:modified>
</cp:coreProperties>
</file>