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B0" w:rsidRDefault="006273B0">
      <w:pPr>
        <w:rPr>
          <w:rFonts w:hint="eastAsia"/>
        </w:rPr>
      </w:pPr>
    </w:p>
    <w:p w:rsidR="00CE5C9B" w:rsidRDefault="00CE5C9B" w:rsidP="00CE5C9B">
      <w:pPr>
        <w:jc w:val="center"/>
        <w:rPr>
          <w:rFonts w:hint="eastAsia"/>
        </w:rPr>
      </w:pPr>
      <w:bookmarkStart w:id="0" w:name="_GoBack"/>
      <w:r w:rsidRPr="00CE5C9B">
        <w:rPr>
          <w:rFonts w:ascii="宋体" w:hAnsi="宋体" w:cs="宋体" w:hint="eastAsia"/>
          <w:b/>
          <w:bCs/>
          <w:color w:val="333333"/>
          <w:kern w:val="0"/>
          <w:sz w:val="36"/>
          <w:szCs w:val="36"/>
        </w:rPr>
        <w:t>高考等级赋分：怎么算怎么看</w:t>
      </w:r>
    </w:p>
    <w:bookmarkEnd w:id="0"/>
    <w:p w:rsidR="00CE5C9B" w:rsidRPr="00EB7459" w:rsidRDefault="00CE5C9B" w:rsidP="00CE5C9B">
      <w:pPr>
        <w:jc w:val="center"/>
        <w:rPr>
          <w:rFonts w:hint="eastAsia"/>
        </w:rPr>
      </w:pPr>
      <w:r w:rsidRPr="00CE5C9B">
        <w:rPr>
          <w:rFonts w:ascii="宋体" w:hAnsi="宋体" w:cs="宋体" w:hint="eastAsia"/>
          <w:bCs/>
          <w:kern w:val="0"/>
          <w:sz w:val="24"/>
        </w:rPr>
        <w:t>王新凤</w:t>
      </w:r>
    </w:p>
    <w:tbl>
      <w:tblPr>
        <w:tblW w:w="4950" w:type="pct"/>
        <w:shd w:val="clear" w:color="auto" w:fill="E6F5FC"/>
        <w:tblCellMar>
          <w:left w:w="0" w:type="dxa"/>
          <w:right w:w="0" w:type="dxa"/>
        </w:tblCellMar>
        <w:tblLook w:val="04A0" w:firstRow="1" w:lastRow="0" w:firstColumn="1" w:lastColumn="0" w:noHBand="0" w:noVBand="1"/>
      </w:tblPr>
      <w:tblGrid>
        <w:gridCol w:w="8223"/>
      </w:tblGrid>
      <w:tr w:rsidR="00CE5C9B" w:rsidRPr="00CE5C9B">
        <w:trPr>
          <w:divId w:val="2045784693"/>
        </w:trPr>
        <w:tc>
          <w:tcPr>
            <w:tcW w:w="0" w:type="auto"/>
            <w:shd w:val="clear" w:color="auto" w:fill="E6F5FC"/>
            <w:vAlign w:val="center"/>
            <w:hideMark/>
          </w:tcPr>
          <w:tbl>
            <w:tblPr>
              <w:tblW w:w="5000" w:type="pct"/>
              <w:tblCellMar>
                <w:top w:w="150" w:type="dxa"/>
                <w:left w:w="150" w:type="dxa"/>
                <w:bottom w:w="150" w:type="dxa"/>
                <w:right w:w="150" w:type="dxa"/>
              </w:tblCellMar>
              <w:tblLook w:val="04A0" w:firstRow="1" w:lastRow="0" w:firstColumn="1" w:lastColumn="0" w:noHBand="0" w:noVBand="1"/>
            </w:tblPr>
            <w:tblGrid>
              <w:gridCol w:w="8223"/>
            </w:tblGrid>
            <w:tr w:rsidR="00CE5C9B" w:rsidRPr="00CE5C9B">
              <w:trPr>
                <w:divId w:val="1422142774"/>
              </w:trPr>
              <w:tc>
                <w:tcPr>
                  <w:tcW w:w="0" w:type="auto"/>
                  <w:vAlign w:val="center"/>
                  <w:hideMark/>
                </w:tcPr>
                <w:tbl>
                  <w:tblPr>
                    <w:tblW w:w="0" w:type="auto"/>
                    <w:tblCellMar>
                      <w:left w:w="0" w:type="dxa"/>
                      <w:right w:w="0" w:type="dxa"/>
                    </w:tblCellMar>
                    <w:tblLook w:val="04A0" w:firstRow="1" w:lastRow="0" w:firstColumn="1" w:lastColumn="0" w:noHBand="0" w:noVBand="1"/>
                  </w:tblPr>
                  <w:tblGrid>
                    <w:gridCol w:w="7923"/>
                  </w:tblGrid>
                  <w:tr w:rsidR="00CE5C9B" w:rsidRPr="00CE5C9B">
                    <w:tc>
                      <w:tcPr>
                        <w:tcW w:w="0" w:type="auto"/>
                        <w:vAlign w:val="center"/>
                        <w:hideMark/>
                      </w:tcPr>
                      <w:p w:rsidR="00CE5C9B" w:rsidRPr="00CE5C9B" w:rsidRDefault="00CE5C9B" w:rsidP="00CE5C9B">
                        <w:pPr>
                          <w:widowControl/>
                          <w:jc w:val="center"/>
                          <w:rPr>
                            <w:rFonts w:ascii="宋体" w:hAnsi="宋体" w:cs="宋体"/>
                            <w:kern w:val="0"/>
                            <w:sz w:val="18"/>
                            <w:szCs w:val="18"/>
                          </w:rPr>
                        </w:pPr>
                        <w:r>
                          <w:rPr>
                            <w:rFonts w:ascii="宋体" w:hAnsi="宋体" w:cs="宋体"/>
                            <w:noProof/>
                            <w:kern w:val="0"/>
                            <w:sz w:val="18"/>
                            <w:szCs w:val="18"/>
                          </w:rPr>
                          <w:drawing>
                            <wp:inline distT="0" distB="0" distL="0" distR="0" wp14:anchorId="5730DF69" wp14:editId="08F79B4F">
                              <wp:extent cx="3810000" cy="2533650"/>
                              <wp:effectExtent l="0" t="0" r="0" b="0"/>
                              <wp:docPr id="6" name="图片 6" descr="http://paper.jyb.cn/zgjyb/images/2022-12/23/09/7_211098362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per.jyb.cn/zgjyb/images/2022-12/23/09/7_2110983623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tc>
                  </w:tr>
                  <w:tr w:rsidR="00CE5C9B" w:rsidRPr="00CE5C9B">
                    <w:tc>
                      <w:tcPr>
                        <w:tcW w:w="0" w:type="auto"/>
                        <w:vAlign w:val="center"/>
                        <w:hideMark/>
                      </w:tcPr>
                      <w:p w:rsidR="00CE5C9B" w:rsidRPr="00CE5C9B" w:rsidRDefault="00CE5C9B" w:rsidP="00CE5C9B">
                        <w:pPr>
                          <w:widowControl/>
                          <w:jc w:val="left"/>
                          <w:rPr>
                            <w:rFonts w:ascii="宋体" w:hAnsi="宋体" w:cs="宋体"/>
                            <w:kern w:val="0"/>
                            <w:sz w:val="18"/>
                            <w:szCs w:val="18"/>
                          </w:rPr>
                        </w:pPr>
                        <w:r w:rsidRPr="00CE5C9B">
                          <w:rPr>
                            <w:rFonts w:ascii="宋体" w:hAnsi="宋体" w:cs="宋体"/>
                            <w:kern w:val="0"/>
                            <w:sz w:val="18"/>
                            <w:szCs w:val="18"/>
                          </w:rPr>
                          <w:t>作为第三批新高考改革省份之一，江苏省实施“3+1+2”考试科目设置，采用</w:t>
                        </w:r>
                        <w:proofErr w:type="gramStart"/>
                        <w:r w:rsidRPr="00CE5C9B">
                          <w:rPr>
                            <w:rFonts w:ascii="宋体" w:hAnsi="宋体" w:cs="宋体"/>
                            <w:kern w:val="0"/>
                            <w:sz w:val="18"/>
                            <w:szCs w:val="18"/>
                          </w:rPr>
                          <w:t>等级赋分制</w:t>
                        </w:r>
                        <w:proofErr w:type="gramEnd"/>
                        <w:r w:rsidRPr="00CE5C9B">
                          <w:rPr>
                            <w:rFonts w:ascii="宋体" w:hAnsi="宋体" w:cs="宋体"/>
                            <w:kern w:val="0"/>
                            <w:sz w:val="18"/>
                            <w:szCs w:val="18"/>
                          </w:rPr>
                          <w:t>。图为南京市中华中学校园内，高三学子在认真复习备考。视觉中国 供图</w:t>
                        </w:r>
                      </w:p>
                    </w:tc>
                  </w:tr>
                </w:tbl>
                <w:p w:rsidR="00CE5C9B" w:rsidRPr="00CE5C9B" w:rsidRDefault="00CE5C9B" w:rsidP="00CE5C9B">
                  <w:pPr>
                    <w:widowControl/>
                    <w:spacing w:line="315" w:lineRule="atLeast"/>
                    <w:jc w:val="left"/>
                    <w:rPr>
                      <w:rFonts w:ascii="宋体" w:hAnsi="宋体" w:cs="宋体"/>
                      <w:vanish/>
                      <w:kern w:val="0"/>
                      <w:szCs w:val="21"/>
                    </w:rPr>
                  </w:pPr>
                </w:p>
                <w:tbl>
                  <w:tblPr>
                    <w:tblW w:w="0" w:type="auto"/>
                    <w:tblCellMar>
                      <w:left w:w="0" w:type="dxa"/>
                      <w:right w:w="0" w:type="dxa"/>
                    </w:tblCellMar>
                    <w:tblLook w:val="04A0" w:firstRow="1" w:lastRow="0" w:firstColumn="1" w:lastColumn="0" w:noHBand="0" w:noVBand="1"/>
                  </w:tblPr>
                  <w:tblGrid>
                    <w:gridCol w:w="6000"/>
                  </w:tblGrid>
                  <w:tr w:rsidR="00CE5C9B" w:rsidRPr="00CE5C9B">
                    <w:tc>
                      <w:tcPr>
                        <w:tcW w:w="0" w:type="auto"/>
                        <w:vAlign w:val="center"/>
                        <w:hideMark/>
                      </w:tcPr>
                      <w:p w:rsidR="00CE5C9B" w:rsidRPr="00CE5C9B" w:rsidRDefault="00CE5C9B" w:rsidP="00CE5C9B">
                        <w:pPr>
                          <w:widowControl/>
                          <w:jc w:val="right"/>
                          <w:rPr>
                            <w:rFonts w:ascii="宋体" w:hAnsi="宋体" w:cs="宋体"/>
                            <w:kern w:val="0"/>
                            <w:sz w:val="18"/>
                            <w:szCs w:val="18"/>
                          </w:rPr>
                        </w:pPr>
                        <w:r>
                          <w:rPr>
                            <w:rFonts w:ascii="宋体" w:hAnsi="宋体" w:cs="宋体"/>
                            <w:noProof/>
                            <w:kern w:val="0"/>
                            <w:sz w:val="18"/>
                            <w:szCs w:val="18"/>
                          </w:rPr>
                          <w:drawing>
                            <wp:inline distT="0" distB="0" distL="0" distR="0" wp14:anchorId="1E0DE936" wp14:editId="16B88959">
                              <wp:extent cx="3810000" cy="457200"/>
                              <wp:effectExtent l="0" t="0" r="0" b="0"/>
                              <wp:docPr id="5" name="图片 5" descr="http://paper.jyb.cn/zgjyb/images/2022-12/23/09/3_211098334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per.jyb.cn/zgjyb/images/2022-12/23/09/3_2110983348_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57200"/>
                                      </a:xfrm>
                                      <a:prstGeom prst="rect">
                                        <a:avLst/>
                                      </a:prstGeom>
                                      <a:noFill/>
                                      <a:ln>
                                        <a:noFill/>
                                      </a:ln>
                                    </pic:spPr>
                                  </pic:pic>
                                </a:graphicData>
                              </a:graphic>
                            </wp:inline>
                          </w:drawing>
                        </w:r>
                      </w:p>
                    </w:tc>
                  </w:tr>
                  <w:tr w:rsidR="00CE5C9B" w:rsidRPr="00CE5C9B">
                    <w:tc>
                      <w:tcPr>
                        <w:tcW w:w="0" w:type="auto"/>
                        <w:vAlign w:val="center"/>
                        <w:hideMark/>
                      </w:tcPr>
                      <w:p w:rsidR="00CE5C9B" w:rsidRPr="00CE5C9B" w:rsidRDefault="00CE5C9B" w:rsidP="00CE5C9B">
                        <w:pPr>
                          <w:widowControl/>
                          <w:jc w:val="left"/>
                          <w:rPr>
                            <w:rFonts w:ascii="宋体" w:hAnsi="宋体" w:cs="宋体"/>
                            <w:kern w:val="0"/>
                            <w:sz w:val="18"/>
                            <w:szCs w:val="18"/>
                          </w:rPr>
                        </w:pPr>
                        <w:r w:rsidRPr="00CE5C9B">
                          <w:rPr>
                            <w:rFonts w:ascii="宋体" w:hAnsi="宋体" w:cs="宋体"/>
                            <w:kern w:val="0"/>
                            <w:sz w:val="18"/>
                            <w:szCs w:val="18"/>
                          </w:rPr>
                          <w:t>图一</w:t>
                        </w:r>
                      </w:p>
                    </w:tc>
                  </w:tr>
                </w:tbl>
                <w:p w:rsidR="00CE5C9B" w:rsidRPr="00CE5C9B" w:rsidRDefault="00CE5C9B" w:rsidP="00CE5C9B">
                  <w:pPr>
                    <w:widowControl/>
                    <w:spacing w:line="315" w:lineRule="atLeast"/>
                    <w:jc w:val="left"/>
                    <w:rPr>
                      <w:rFonts w:ascii="宋体" w:hAnsi="宋体" w:cs="宋体"/>
                      <w:vanish/>
                      <w:kern w:val="0"/>
                      <w:szCs w:val="21"/>
                    </w:rPr>
                  </w:pPr>
                </w:p>
                <w:tbl>
                  <w:tblPr>
                    <w:tblW w:w="0" w:type="auto"/>
                    <w:tblCellMar>
                      <w:left w:w="0" w:type="dxa"/>
                      <w:right w:w="0" w:type="dxa"/>
                    </w:tblCellMar>
                    <w:tblLook w:val="04A0" w:firstRow="1" w:lastRow="0" w:firstColumn="1" w:lastColumn="0" w:noHBand="0" w:noVBand="1"/>
                  </w:tblPr>
                  <w:tblGrid>
                    <w:gridCol w:w="6000"/>
                  </w:tblGrid>
                  <w:tr w:rsidR="00CE5C9B" w:rsidRPr="00CE5C9B">
                    <w:tc>
                      <w:tcPr>
                        <w:tcW w:w="0" w:type="auto"/>
                        <w:vAlign w:val="center"/>
                        <w:hideMark/>
                      </w:tcPr>
                      <w:p w:rsidR="00CE5C9B" w:rsidRPr="00CE5C9B" w:rsidRDefault="00CE5C9B" w:rsidP="00CE5C9B">
                        <w:pPr>
                          <w:widowControl/>
                          <w:jc w:val="center"/>
                          <w:rPr>
                            <w:rFonts w:ascii="宋体" w:hAnsi="宋体" w:cs="宋体"/>
                            <w:kern w:val="0"/>
                            <w:sz w:val="18"/>
                            <w:szCs w:val="18"/>
                          </w:rPr>
                        </w:pPr>
                        <w:r>
                          <w:rPr>
                            <w:rFonts w:ascii="宋体" w:hAnsi="宋体" w:cs="宋体"/>
                            <w:noProof/>
                            <w:kern w:val="0"/>
                            <w:sz w:val="18"/>
                            <w:szCs w:val="18"/>
                          </w:rPr>
                          <w:drawing>
                            <wp:inline distT="0" distB="0" distL="0" distR="0" wp14:anchorId="4079CECF" wp14:editId="1BFFACE0">
                              <wp:extent cx="3810000" cy="428625"/>
                              <wp:effectExtent l="0" t="0" r="0" b="9525"/>
                              <wp:docPr id="4" name="图片 4" descr="http://paper.jyb.cn/zgjyb/images/2022-12/23/09/4_211098334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per.jyb.cn/zgjyb/images/2022-12/23/09/4_2110983349_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28625"/>
                                      </a:xfrm>
                                      <a:prstGeom prst="rect">
                                        <a:avLst/>
                                      </a:prstGeom>
                                      <a:noFill/>
                                      <a:ln>
                                        <a:noFill/>
                                      </a:ln>
                                    </pic:spPr>
                                  </pic:pic>
                                </a:graphicData>
                              </a:graphic>
                            </wp:inline>
                          </w:drawing>
                        </w:r>
                      </w:p>
                    </w:tc>
                  </w:tr>
                  <w:tr w:rsidR="00CE5C9B" w:rsidRPr="00CE5C9B">
                    <w:tc>
                      <w:tcPr>
                        <w:tcW w:w="0" w:type="auto"/>
                        <w:vAlign w:val="center"/>
                        <w:hideMark/>
                      </w:tcPr>
                      <w:p w:rsidR="00CE5C9B" w:rsidRPr="00CE5C9B" w:rsidRDefault="00CE5C9B" w:rsidP="00CE5C9B">
                        <w:pPr>
                          <w:widowControl/>
                          <w:jc w:val="left"/>
                          <w:rPr>
                            <w:rFonts w:ascii="宋体" w:hAnsi="宋体" w:cs="宋体"/>
                            <w:kern w:val="0"/>
                            <w:sz w:val="18"/>
                            <w:szCs w:val="18"/>
                          </w:rPr>
                        </w:pPr>
                        <w:r w:rsidRPr="00CE5C9B">
                          <w:rPr>
                            <w:rFonts w:ascii="宋体" w:hAnsi="宋体" w:cs="宋体"/>
                            <w:kern w:val="0"/>
                            <w:sz w:val="18"/>
                            <w:szCs w:val="18"/>
                          </w:rPr>
                          <w:t>图二</w:t>
                        </w:r>
                      </w:p>
                    </w:tc>
                  </w:tr>
                </w:tbl>
                <w:p w:rsidR="00CE5C9B" w:rsidRPr="00CE5C9B" w:rsidRDefault="00CE5C9B" w:rsidP="00CE5C9B">
                  <w:pPr>
                    <w:widowControl/>
                    <w:spacing w:line="315" w:lineRule="atLeast"/>
                    <w:ind w:leftChars="71" w:left="149" w:right="150" w:firstLineChars="200" w:firstLine="420"/>
                    <w:jc w:val="left"/>
                    <w:rPr>
                      <w:rFonts w:ascii="宋体" w:hAnsi="宋体" w:cs="宋体"/>
                      <w:kern w:val="0"/>
                      <w:szCs w:val="21"/>
                    </w:rPr>
                  </w:pPr>
                  <w:r w:rsidRPr="00CE5C9B">
                    <w:rPr>
                      <w:rFonts w:ascii="黑体" w:eastAsia="黑体" w:hAnsi="黑体" w:cs="宋体"/>
                      <w:kern w:val="0"/>
                      <w:szCs w:val="21"/>
                    </w:rPr>
                    <w:t>截至目前，全国有29个省份实施新高考，第一、二批改革省份实施“3+3”考试科目设置，第三、四、五批改革省份实施“3+1+2”考试科目设置。高考成绩有原始分、标准分、</w:t>
                  </w:r>
                  <w:proofErr w:type="gramStart"/>
                  <w:r w:rsidRPr="00CE5C9B">
                    <w:rPr>
                      <w:rFonts w:ascii="黑体" w:eastAsia="黑体" w:hAnsi="黑体" w:cs="宋体"/>
                      <w:kern w:val="0"/>
                      <w:szCs w:val="21"/>
                    </w:rPr>
                    <w:t>等级赋分三种</w:t>
                  </w:r>
                  <w:proofErr w:type="gramEnd"/>
                  <w:r w:rsidRPr="00CE5C9B">
                    <w:rPr>
                      <w:rFonts w:ascii="黑体" w:eastAsia="黑体" w:hAnsi="黑体" w:cs="宋体"/>
                      <w:kern w:val="0"/>
                      <w:szCs w:val="21"/>
                    </w:rPr>
                    <w:t>计分方式。海南省考生的统一高考科目成绩、等级性（选择性）考试成绩、高考录取总成绩均以标准分呈现。除此之外的28个省份，语文、数学、外语3科都以原始分呈现，浙江、上海、山东、北京、天津“3+3”科目设置中的3门选考科目以等级分呈现，第三、四、五批改革的23个省份首选科目的物理或者历史使用原始分，再选科目以等级分呈现。</w:t>
                  </w:r>
                </w:p>
                <w:p w:rsidR="00CE5C9B" w:rsidRPr="00CE5C9B" w:rsidRDefault="00CE5C9B" w:rsidP="00CE5C9B">
                  <w:pPr>
                    <w:widowControl/>
                    <w:spacing w:line="315" w:lineRule="atLeast"/>
                    <w:ind w:leftChars="71" w:left="149" w:right="150" w:firstLineChars="200" w:firstLine="422"/>
                    <w:jc w:val="left"/>
                    <w:rPr>
                      <w:rFonts w:ascii="宋体" w:hAnsi="宋体" w:cs="宋体"/>
                      <w:kern w:val="0"/>
                      <w:szCs w:val="21"/>
                    </w:rPr>
                  </w:pPr>
                  <w:r w:rsidRPr="00CE5C9B">
                    <w:rPr>
                      <w:rFonts w:ascii="宋体" w:hAnsi="宋体" w:cs="宋体"/>
                      <w:b/>
                      <w:bCs/>
                      <w:kern w:val="0"/>
                      <w:szCs w:val="21"/>
                    </w:rPr>
                    <w:t>为什么要实行</w:t>
                  </w:r>
                  <w:proofErr w:type="gramStart"/>
                  <w:r w:rsidRPr="00CE5C9B">
                    <w:rPr>
                      <w:rFonts w:ascii="宋体" w:hAnsi="宋体" w:cs="宋体"/>
                      <w:b/>
                      <w:bCs/>
                      <w:kern w:val="0"/>
                      <w:szCs w:val="21"/>
                    </w:rPr>
                    <w:t>等级赋分制</w:t>
                  </w:r>
                  <w:proofErr w:type="gramEnd"/>
                  <w:r w:rsidRPr="00CE5C9B">
                    <w:rPr>
                      <w:rFonts w:ascii="宋体" w:hAnsi="宋体" w:cs="宋体"/>
                      <w:b/>
                      <w:bCs/>
                      <w:kern w:val="0"/>
                      <w:szCs w:val="21"/>
                    </w:rPr>
                    <w:t>？</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以实施“3+1+2”的考试科目设置为例，在这种考试科目设置下，即固定物理或者历史科目作为首选科目，学生在生物、化学、政治、地理4门科目中选择2门作为再选科目。选择性考试中的首选科目考试成绩以原始分呈现，再选科目成绩以等级分呈现。也就是说，语文、数学、外语3门科目和作为首选科目的物理或者历史按原始分计入总分，再选2门科目成绩按照等级分计入总分。</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lastRenderedPageBreak/>
                    <w:t>之所以再选科目以等级分呈现，是因为高校招生是按照高考成绩总分录取，报考同一个专业的考生除必考科目外，选考科目可能会不同，在按照总分录取的情况下，会出现考生选考科目“不等值”的问题。即便同一省的考生，有人再选科目为生物，有人再选科目为地理，同样为90分，因为命题难易程度、选考人群不同，90分的“含金量”会有较大差异。等级</w:t>
                  </w:r>
                  <w:proofErr w:type="gramStart"/>
                  <w:r w:rsidRPr="00CE5C9B">
                    <w:rPr>
                      <w:rFonts w:ascii="宋体" w:hAnsi="宋体" w:cs="宋体"/>
                      <w:kern w:val="0"/>
                      <w:szCs w:val="21"/>
                    </w:rPr>
                    <w:t>赋分遵循</w:t>
                  </w:r>
                  <w:proofErr w:type="gramEnd"/>
                  <w:r w:rsidRPr="00CE5C9B">
                    <w:rPr>
                      <w:rFonts w:ascii="宋体" w:hAnsi="宋体" w:cs="宋体"/>
                      <w:kern w:val="0"/>
                      <w:szCs w:val="21"/>
                    </w:rPr>
                    <w:t>固定比例划分等级的转换机制，即根据相关测量原则，将参加同一科目考试的考生成绩按照预设好的固定人数比例划定等级，并进一步在等级下进行相应转换，进而最大可能地实现可比性，保障高考的科学性与公平性。</w:t>
                  </w:r>
                </w:p>
                <w:p w:rsidR="00CE5C9B" w:rsidRPr="00CE5C9B" w:rsidRDefault="00CE5C9B" w:rsidP="00CE5C9B">
                  <w:pPr>
                    <w:widowControl/>
                    <w:spacing w:line="315" w:lineRule="atLeast"/>
                    <w:ind w:leftChars="71" w:left="149" w:right="150" w:firstLineChars="200" w:firstLine="422"/>
                    <w:jc w:val="left"/>
                    <w:rPr>
                      <w:rFonts w:ascii="宋体" w:hAnsi="宋体" w:cs="宋体"/>
                      <w:kern w:val="0"/>
                      <w:szCs w:val="21"/>
                    </w:rPr>
                  </w:pPr>
                  <w:r w:rsidRPr="00CE5C9B">
                    <w:rPr>
                      <w:rFonts w:ascii="宋体" w:hAnsi="宋体" w:cs="宋体"/>
                      <w:b/>
                      <w:bCs/>
                      <w:kern w:val="0"/>
                      <w:szCs w:val="21"/>
                    </w:rPr>
                    <w:t>各省份</w:t>
                  </w:r>
                  <w:proofErr w:type="gramStart"/>
                  <w:r w:rsidRPr="00CE5C9B">
                    <w:rPr>
                      <w:rFonts w:ascii="宋体" w:hAnsi="宋体" w:cs="宋体"/>
                      <w:b/>
                      <w:bCs/>
                      <w:kern w:val="0"/>
                      <w:szCs w:val="21"/>
                    </w:rPr>
                    <w:t>等级赋分有</w:t>
                  </w:r>
                  <w:proofErr w:type="gramEnd"/>
                  <w:r w:rsidRPr="00CE5C9B">
                    <w:rPr>
                      <w:rFonts w:ascii="宋体" w:hAnsi="宋体" w:cs="宋体"/>
                      <w:b/>
                      <w:bCs/>
                      <w:kern w:val="0"/>
                      <w:szCs w:val="21"/>
                    </w:rPr>
                    <w:t>何不同？</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从各省新高考改革方案来看，</w:t>
                  </w:r>
                  <w:proofErr w:type="gramStart"/>
                  <w:r w:rsidRPr="00CE5C9B">
                    <w:rPr>
                      <w:rFonts w:ascii="宋体" w:hAnsi="宋体" w:cs="宋体"/>
                      <w:kern w:val="0"/>
                      <w:szCs w:val="21"/>
                    </w:rPr>
                    <w:t>等级赋分又</w:t>
                  </w:r>
                  <w:proofErr w:type="gramEnd"/>
                  <w:r w:rsidRPr="00CE5C9B">
                    <w:rPr>
                      <w:rFonts w:ascii="宋体" w:hAnsi="宋体" w:cs="宋体"/>
                      <w:kern w:val="0"/>
                      <w:szCs w:val="21"/>
                    </w:rPr>
                    <w:t>分为等级内固定</w:t>
                  </w:r>
                  <w:proofErr w:type="gramStart"/>
                  <w:r w:rsidRPr="00CE5C9B">
                    <w:rPr>
                      <w:rFonts w:ascii="宋体" w:hAnsi="宋体" w:cs="宋体"/>
                      <w:kern w:val="0"/>
                      <w:szCs w:val="21"/>
                    </w:rPr>
                    <w:t>分值赋分和</w:t>
                  </w:r>
                  <w:proofErr w:type="gramEnd"/>
                  <w:r w:rsidRPr="00CE5C9B">
                    <w:rPr>
                      <w:rFonts w:ascii="宋体" w:hAnsi="宋体" w:cs="宋体"/>
                      <w:kern w:val="0"/>
                      <w:szCs w:val="21"/>
                    </w:rPr>
                    <w:t>等级内线性</w:t>
                  </w:r>
                  <w:proofErr w:type="gramStart"/>
                  <w:r w:rsidRPr="00CE5C9B">
                    <w:rPr>
                      <w:rFonts w:ascii="宋体" w:hAnsi="宋体" w:cs="宋体"/>
                      <w:kern w:val="0"/>
                      <w:szCs w:val="21"/>
                    </w:rPr>
                    <w:t>转换赋分两种</w:t>
                  </w:r>
                  <w:proofErr w:type="gramEnd"/>
                  <w:r w:rsidRPr="00CE5C9B">
                    <w:rPr>
                      <w:rFonts w:ascii="宋体" w:hAnsi="宋体" w:cs="宋体"/>
                      <w:kern w:val="0"/>
                      <w:szCs w:val="21"/>
                    </w:rPr>
                    <w:t>方式。等级内固定</w:t>
                  </w:r>
                  <w:proofErr w:type="gramStart"/>
                  <w:r w:rsidRPr="00CE5C9B">
                    <w:rPr>
                      <w:rFonts w:ascii="宋体" w:hAnsi="宋体" w:cs="宋体"/>
                      <w:kern w:val="0"/>
                      <w:szCs w:val="21"/>
                    </w:rPr>
                    <w:t>分值赋分是</w:t>
                  </w:r>
                  <w:proofErr w:type="gramEnd"/>
                  <w:r w:rsidRPr="00CE5C9B">
                    <w:rPr>
                      <w:rFonts w:ascii="宋体" w:hAnsi="宋体" w:cs="宋体"/>
                      <w:kern w:val="0"/>
                      <w:szCs w:val="21"/>
                    </w:rPr>
                    <w:t>指在固定比例的等级下将考生成绩划为更多分数等级以增加区分度，对每个细分等级内的考生直接赋予一个分值，浙江、上海、北京、天津都是这种类型；等级内线性</w:t>
                  </w:r>
                  <w:proofErr w:type="gramStart"/>
                  <w:r w:rsidRPr="00CE5C9B">
                    <w:rPr>
                      <w:rFonts w:ascii="宋体" w:hAnsi="宋体" w:cs="宋体"/>
                      <w:kern w:val="0"/>
                      <w:szCs w:val="21"/>
                    </w:rPr>
                    <w:t>转换赋分是</w:t>
                  </w:r>
                  <w:proofErr w:type="gramEnd"/>
                  <w:r w:rsidRPr="00CE5C9B">
                    <w:rPr>
                      <w:rFonts w:ascii="宋体" w:hAnsi="宋体" w:cs="宋体"/>
                      <w:kern w:val="0"/>
                      <w:szCs w:val="21"/>
                    </w:rPr>
                    <w:t>指在每个限定等级下，通过等比例转换法则进行线性转换得到最终的转换分，山东和第三、四、五批改革省份</w:t>
                  </w:r>
                  <w:proofErr w:type="gramStart"/>
                  <w:r w:rsidRPr="00CE5C9B">
                    <w:rPr>
                      <w:rFonts w:ascii="宋体" w:hAnsi="宋体" w:cs="宋体"/>
                      <w:kern w:val="0"/>
                      <w:szCs w:val="21"/>
                    </w:rPr>
                    <w:t>多实施这种赋分</w:t>
                  </w:r>
                  <w:proofErr w:type="gramEnd"/>
                  <w:r w:rsidRPr="00CE5C9B">
                    <w:rPr>
                      <w:rFonts w:ascii="宋体" w:hAnsi="宋体" w:cs="宋体"/>
                      <w:kern w:val="0"/>
                      <w:szCs w:val="21"/>
                    </w:rPr>
                    <w:t>方法。</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以第三批改革省份湖北省为例，其再选科目原始</w:t>
                  </w:r>
                  <w:proofErr w:type="gramStart"/>
                  <w:r w:rsidRPr="00CE5C9B">
                    <w:rPr>
                      <w:rFonts w:ascii="宋体" w:hAnsi="宋体" w:cs="宋体"/>
                      <w:kern w:val="0"/>
                      <w:szCs w:val="21"/>
                    </w:rPr>
                    <w:t>分按照</w:t>
                  </w:r>
                  <w:proofErr w:type="gramEnd"/>
                  <w:r w:rsidRPr="00CE5C9B">
                    <w:rPr>
                      <w:rFonts w:ascii="宋体" w:hAnsi="宋体" w:cs="宋体"/>
                      <w:kern w:val="0"/>
                      <w:szCs w:val="21"/>
                    </w:rPr>
                    <w:t>15%、35%、35%、13%和2%的比例，从高到低划分为A、B、C、D、E共5个等级。成绩计入考生总成绩时，将原始成绩依照等比例转换法则，分别转换到100—86、85—71、70—56、55—41和40—30</w:t>
                  </w:r>
                  <w:proofErr w:type="gramStart"/>
                  <w:r w:rsidRPr="00CE5C9B">
                    <w:rPr>
                      <w:rFonts w:ascii="宋体" w:hAnsi="宋体" w:cs="宋体"/>
                      <w:kern w:val="0"/>
                      <w:szCs w:val="21"/>
                    </w:rPr>
                    <w:t>五个</w:t>
                  </w:r>
                  <w:proofErr w:type="gramEnd"/>
                  <w:r w:rsidRPr="00CE5C9B">
                    <w:rPr>
                      <w:rFonts w:ascii="宋体" w:hAnsi="宋体" w:cs="宋体"/>
                      <w:kern w:val="0"/>
                      <w:szCs w:val="21"/>
                    </w:rPr>
                    <w:t>分数区间，根据线性转换公式计算得到考生的等级分，一分一档，考生等级分排序和原始分排序不变。</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根据</w:t>
                  </w:r>
                  <w:proofErr w:type="gramStart"/>
                  <w:r w:rsidRPr="00CE5C9B">
                    <w:rPr>
                      <w:rFonts w:ascii="宋体" w:hAnsi="宋体" w:cs="宋体"/>
                      <w:kern w:val="0"/>
                      <w:szCs w:val="21"/>
                    </w:rPr>
                    <w:t>等级赋分公式</w:t>
                  </w:r>
                  <w:proofErr w:type="gramEnd"/>
                  <w:r w:rsidRPr="00CE5C9B">
                    <w:rPr>
                      <w:rFonts w:ascii="宋体" w:hAnsi="宋体" w:cs="宋体"/>
                      <w:kern w:val="0"/>
                      <w:szCs w:val="21"/>
                    </w:rPr>
                    <w:t>：（见图一）</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其中，Y表示考生的原始成绩，Y1、Y2分别表示某等级内原始分数区间的下限和上限；X1、X2分别表示相应等级</w:t>
                  </w:r>
                  <w:proofErr w:type="gramStart"/>
                  <w:r w:rsidRPr="00CE5C9B">
                    <w:rPr>
                      <w:rFonts w:ascii="宋体" w:hAnsi="宋体" w:cs="宋体"/>
                      <w:kern w:val="0"/>
                      <w:szCs w:val="21"/>
                    </w:rPr>
                    <w:t>的赋分区间</w:t>
                  </w:r>
                  <w:proofErr w:type="gramEnd"/>
                  <w:r w:rsidRPr="00CE5C9B">
                    <w:rPr>
                      <w:rFonts w:ascii="宋体" w:hAnsi="宋体" w:cs="宋体"/>
                      <w:kern w:val="0"/>
                      <w:szCs w:val="21"/>
                    </w:rPr>
                    <w:t>的下限和上限；S表示考生转换后的等级成绩。可以得到：（见图二）</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简单来说，如小</w:t>
                  </w:r>
                  <w:proofErr w:type="gramStart"/>
                  <w:r w:rsidRPr="00CE5C9B">
                    <w:rPr>
                      <w:rFonts w:ascii="宋体" w:hAnsi="宋体" w:cs="宋体"/>
                      <w:kern w:val="0"/>
                      <w:szCs w:val="21"/>
                    </w:rPr>
                    <w:t>明同学</w:t>
                  </w:r>
                  <w:proofErr w:type="gramEnd"/>
                  <w:r w:rsidRPr="00CE5C9B">
                    <w:rPr>
                      <w:rFonts w:ascii="宋体" w:hAnsi="宋体" w:cs="宋体"/>
                      <w:kern w:val="0"/>
                      <w:szCs w:val="21"/>
                    </w:rPr>
                    <w:t>再选科目化学的考试原始分是92分，排名为总数的8%，处于A等级，那么他的得分将处于100—86分区间，假设该区间原始最高分和最低分分别为98和88，可根据公式计算小明的最终化学得分为：100-(98-92)/(98-88)×(100-86)=91.6分。</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如果考生原始成绩正好为所对应等级的区间上限或下限时，不需要按转换公式计算，相应</w:t>
                  </w:r>
                  <w:proofErr w:type="gramStart"/>
                  <w:r w:rsidRPr="00CE5C9B">
                    <w:rPr>
                      <w:rFonts w:ascii="宋体" w:hAnsi="宋体" w:cs="宋体"/>
                      <w:kern w:val="0"/>
                      <w:szCs w:val="21"/>
                    </w:rPr>
                    <w:t>的赋分区间</w:t>
                  </w:r>
                  <w:proofErr w:type="gramEnd"/>
                  <w:r w:rsidRPr="00CE5C9B">
                    <w:rPr>
                      <w:rFonts w:ascii="宋体" w:hAnsi="宋体" w:cs="宋体"/>
                      <w:kern w:val="0"/>
                      <w:szCs w:val="21"/>
                    </w:rPr>
                    <w:t>的上限或下限分数即为该考生的等级成绩。</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经过等级分转化之后，考生的等级分排序和原始分排序并不发生变化。</w:t>
                  </w:r>
                  <w:proofErr w:type="gramStart"/>
                  <w:r w:rsidRPr="00CE5C9B">
                    <w:rPr>
                      <w:rFonts w:ascii="宋体" w:hAnsi="宋体" w:cs="宋体"/>
                      <w:kern w:val="0"/>
                      <w:szCs w:val="21"/>
                    </w:rPr>
                    <w:t>等级赋分通过</w:t>
                  </w:r>
                  <w:proofErr w:type="gramEnd"/>
                  <w:r w:rsidRPr="00CE5C9B">
                    <w:rPr>
                      <w:rFonts w:ascii="宋体" w:hAnsi="宋体" w:cs="宋体"/>
                      <w:kern w:val="0"/>
                      <w:szCs w:val="21"/>
                    </w:rPr>
                    <w:t>体现考生成绩在全体考生成绩中的分布情况，致力于实现不同科目考试成绩的相对可比性。</w:t>
                  </w:r>
                </w:p>
                <w:p w:rsidR="00CE5C9B" w:rsidRPr="00CE5C9B" w:rsidRDefault="00CE5C9B" w:rsidP="00CE5C9B">
                  <w:pPr>
                    <w:widowControl/>
                    <w:spacing w:line="315" w:lineRule="atLeast"/>
                    <w:ind w:leftChars="71" w:left="149" w:right="150" w:firstLineChars="200" w:firstLine="422"/>
                    <w:jc w:val="left"/>
                    <w:rPr>
                      <w:rFonts w:ascii="宋体" w:hAnsi="宋体" w:cs="宋体"/>
                      <w:kern w:val="0"/>
                      <w:szCs w:val="21"/>
                    </w:rPr>
                  </w:pPr>
                  <w:r w:rsidRPr="00CE5C9B">
                    <w:rPr>
                      <w:rFonts w:ascii="宋体" w:hAnsi="宋体" w:cs="宋体"/>
                      <w:b/>
                      <w:bCs/>
                      <w:kern w:val="0"/>
                      <w:szCs w:val="21"/>
                    </w:rPr>
                    <w:t>怎么看待</w:t>
                  </w:r>
                  <w:proofErr w:type="gramStart"/>
                  <w:r w:rsidRPr="00CE5C9B">
                    <w:rPr>
                      <w:rFonts w:ascii="宋体" w:hAnsi="宋体" w:cs="宋体"/>
                      <w:b/>
                      <w:bCs/>
                      <w:kern w:val="0"/>
                      <w:szCs w:val="21"/>
                    </w:rPr>
                    <w:t>等级赋分制</w:t>
                  </w:r>
                  <w:proofErr w:type="gramEnd"/>
                  <w:r w:rsidRPr="00CE5C9B">
                    <w:rPr>
                      <w:rFonts w:ascii="宋体" w:hAnsi="宋体" w:cs="宋体"/>
                      <w:b/>
                      <w:bCs/>
                      <w:kern w:val="0"/>
                      <w:szCs w:val="21"/>
                    </w:rPr>
                    <w:t>的争议？</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新高考实施之初，在政策实施过程中出现了一些新情况、新问题，如学生盲目性选科、功利化选科的倾向，引起社会广泛关注。</w:t>
                  </w:r>
                  <w:proofErr w:type="gramStart"/>
                  <w:r w:rsidRPr="00CE5C9B">
                    <w:rPr>
                      <w:rFonts w:ascii="宋体" w:hAnsi="宋体" w:cs="宋体"/>
                      <w:kern w:val="0"/>
                      <w:szCs w:val="21"/>
                    </w:rPr>
                    <w:t>等级赋分制成</w:t>
                  </w:r>
                  <w:proofErr w:type="gramEnd"/>
                  <w:r w:rsidRPr="00CE5C9B">
                    <w:rPr>
                      <w:rFonts w:ascii="宋体" w:hAnsi="宋体" w:cs="宋体"/>
                      <w:kern w:val="0"/>
                      <w:szCs w:val="21"/>
                    </w:rPr>
                    <w:t>为质疑新高考科学性、公平性的众矢之的，身处其中的学生及其家长、教师也因此而感到焦虑。</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新高考增加了学生的选择权，学生可以按照自己的喜好与优势来选择科目、选</w:t>
                  </w:r>
                  <w:r w:rsidRPr="00CE5C9B">
                    <w:rPr>
                      <w:rFonts w:ascii="宋体" w:hAnsi="宋体" w:cs="宋体"/>
                      <w:kern w:val="0"/>
                      <w:szCs w:val="21"/>
                    </w:rPr>
                    <w:lastRenderedPageBreak/>
                    <w:t>择招生录取的方式等，但同时，也一定程度上助长了选择的功利性。从学生的角度来看，在优质高等教育资源有限的情况下，必然会追求个人利益的最大化，即以最少的努力获得最高的成绩，进而能够进入理想的大学。</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在实施</w:t>
                  </w:r>
                  <w:proofErr w:type="gramStart"/>
                  <w:r w:rsidRPr="00CE5C9B">
                    <w:rPr>
                      <w:rFonts w:ascii="宋体" w:hAnsi="宋体" w:cs="宋体"/>
                      <w:kern w:val="0"/>
                      <w:szCs w:val="21"/>
                    </w:rPr>
                    <w:t>等级赋分制</w:t>
                  </w:r>
                  <w:proofErr w:type="gramEnd"/>
                  <w:r w:rsidRPr="00CE5C9B">
                    <w:rPr>
                      <w:rFonts w:ascii="宋体" w:hAnsi="宋体" w:cs="宋体"/>
                      <w:kern w:val="0"/>
                      <w:szCs w:val="21"/>
                    </w:rPr>
                    <w:t>的情况下，等级的实际划分标准受考生水平、参考人数、试题难度的影响，标准本身的不确定性加强。同一次考试中因为优秀学生过于集中，可能会出现</w:t>
                  </w:r>
                  <w:proofErr w:type="gramStart"/>
                  <w:r w:rsidRPr="00CE5C9B">
                    <w:rPr>
                      <w:rFonts w:ascii="宋体" w:hAnsi="宋体" w:cs="宋体"/>
                      <w:kern w:val="0"/>
                      <w:szCs w:val="21"/>
                    </w:rPr>
                    <w:t>赋分过低</w:t>
                  </w:r>
                  <w:proofErr w:type="gramEnd"/>
                  <w:r w:rsidRPr="00CE5C9B">
                    <w:rPr>
                      <w:rFonts w:ascii="宋体" w:hAnsi="宋体" w:cs="宋体"/>
                      <w:kern w:val="0"/>
                      <w:szCs w:val="21"/>
                    </w:rPr>
                    <w:t>的问题，优秀的学生会吃亏；相反，即便是成绩一般也可能会得到更好的分数。因此，部分试点省份学生出现“田忌赛马”“趋易避难”的选科倾向，大量</w:t>
                  </w:r>
                  <w:proofErr w:type="gramStart"/>
                  <w:r w:rsidRPr="00CE5C9B">
                    <w:rPr>
                      <w:rFonts w:ascii="宋体" w:hAnsi="宋体" w:cs="宋体"/>
                      <w:kern w:val="0"/>
                      <w:szCs w:val="21"/>
                    </w:rPr>
                    <w:t>学生弃选物理</w:t>
                  </w:r>
                  <w:proofErr w:type="gramEnd"/>
                  <w:r w:rsidRPr="00CE5C9B">
                    <w:rPr>
                      <w:rFonts w:ascii="宋体" w:hAnsi="宋体" w:cs="宋体"/>
                      <w:kern w:val="0"/>
                      <w:szCs w:val="21"/>
                    </w:rPr>
                    <w:t>学科，造成选考物理人数“断崖式下滑”。同时，因为试点省份不同等级之间有3分的差距，可能会因为原始分1分之差导致</w:t>
                  </w:r>
                  <w:proofErr w:type="gramStart"/>
                  <w:r w:rsidRPr="00CE5C9B">
                    <w:rPr>
                      <w:rFonts w:ascii="宋体" w:hAnsi="宋体" w:cs="宋体"/>
                      <w:kern w:val="0"/>
                      <w:szCs w:val="21"/>
                    </w:rPr>
                    <w:t>最终赋分差</w:t>
                  </w:r>
                  <w:proofErr w:type="gramEnd"/>
                  <w:r w:rsidRPr="00CE5C9B">
                    <w:rPr>
                      <w:rFonts w:ascii="宋体" w:hAnsi="宋体" w:cs="宋体"/>
                      <w:kern w:val="0"/>
                      <w:szCs w:val="21"/>
                    </w:rPr>
                    <w:t>3分，拉大了学生考试成绩的两极分化，强化了学生的“分分计较”。</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为了解决考生博弈导致物理选科人数下降的问题，教育部和地方各省份做了三方面的努力：一是第三、四、五批新高考改革省份实施“3+1+2”科目设置，将物理或者历史作为首选科目。根据对第三批新高考改革省份的调研，总体上来说，选考物理科目的学生比例基本与“文综”“理综”模式</w:t>
                  </w:r>
                  <w:proofErr w:type="gramStart"/>
                  <w:r w:rsidRPr="00CE5C9B">
                    <w:rPr>
                      <w:rFonts w:ascii="宋体" w:hAnsi="宋体" w:cs="宋体"/>
                      <w:kern w:val="0"/>
                      <w:szCs w:val="21"/>
                    </w:rPr>
                    <w:t>下比例</w:t>
                  </w:r>
                  <w:proofErr w:type="gramEnd"/>
                  <w:r w:rsidRPr="00CE5C9B">
                    <w:rPr>
                      <w:rFonts w:ascii="宋体" w:hAnsi="宋体" w:cs="宋体"/>
                      <w:kern w:val="0"/>
                      <w:szCs w:val="21"/>
                    </w:rPr>
                    <w:t>一致，从根本上解决了物理科目选考人数下降的问题。二是教育部出台“选考指引”等指导性文件，引导学生理性选择，也改变了高校为保证优质生源不敢限制学生报考科目的情况；同时，各省份相继启动选考科目保障机制，根据高校往年招生录取的人数设置保障基数，如果选考人数过低，将会按照保障基数赋分，在这种情况下，选择这门科目反而可以获得更高的分数，缓解学生“会吃亏”的焦虑。三是逐步完善</w:t>
                  </w:r>
                  <w:proofErr w:type="gramStart"/>
                  <w:r w:rsidRPr="00CE5C9B">
                    <w:rPr>
                      <w:rFonts w:ascii="宋体" w:hAnsi="宋体" w:cs="宋体"/>
                      <w:kern w:val="0"/>
                      <w:szCs w:val="21"/>
                    </w:rPr>
                    <w:t>等级赋分办法</w:t>
                  </w:r>
                  <w:proofErr w:type="gramEnd"/>
                  <w:r w:rsidRPr="00CE5C9B">
                    <w:rPr>
                      <w:rFonts w:ascii="宋体" w:hAnsi="宋体" w:cs="宋体"/>
                      <w:kern w:val="0"/>
                      <w:szCs w:val="21"/>
                    </w:rPr>
                    <w:t>。按照后续改革省份再选</w:t>
                  </w:r>
                  <w:proofErr w:type="gramStart"/>
                  <w:r w:rsidRPr="00CE5C9B">
                    <w:rPr>
                      <w:rFonts w:ascii="宋体" w:hAnsi="宋体" w:cs="宋体"/>
                      <w:kern w:val="0"/>
                      <w:szCs w:val="21"/>
                    </w:rPr>
                    <w:t>科目赋分的</w:t>
                  </w:r>
                  <w:proofErr w:type="gramEnd"/>
                  <w:r w:rsidRPr="00CE5C9B">
                    <w:rPr>
                      <w:rFonts w:ascii="宋体" w:hAnsi="宋体" w:cs="宋体"/>
                      <w:kern w:val="0"/>
                      <w:szCs w:val="21"/>
                    </w:rPr>
                    <w:t>办法，考生成绩一分一档，考生等级分排序和原始分排序不变，保证了考生成绩的区分度，也最大限度地保证了等级分的公平性。浙江省从2022年开始也将选考科目</w:t>
                  </w:r>
                  <w:proofErr w:type="gramStart"/>
                  <w:r w:rsidRPr="00CE5C9B">
                    <w:rPr>
                      <w:rFonts w:ascii="宋体" w:hAnsi="宋体" w:cs="宋体"/>
                      <w:kern w:val="0"/>
                      <w:szCs w:val="21"/>
                    </w:rPr>
                    <w:t>等级赋分的</w:t>
                  </w:r>
                  <w:proofErr w:type="gramEnd"/>
                  <w:r w:rsidRPr="00CE5C9B">
                    <w:rPr>
                      <w:rFonts w:ascii="宋体" w:hAnsi="宋体" w:cs="宋体"/>
                      <w:kern w:val="0"/>
                      <w:szCs w:val="21"/>
                    </w:rPr>
                    <w:t>分差从3分改为1分。</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可以看出，随着高考改革方案的逐步完善，选考科目等级赋分带来的问题和争议也得以缓解，后续改革省份进一步总结吸取了试点省份的经验，考试科目计分方式也在逐步完善的过程中。原始分的“可比”是建立在大众普遍容易理解的基础之上的，标准分相比来讲规则更加复杂，在按总分录取的情况下，等级分甚至可以说是一种简化的标准分。当然，我们必须意识到，没有一项计分方式是完美的，通过简单的数字排序决定招生录取的结果本身也有其固有的局限，考试分数的呈现和转换依然存在改进的空间。</w:t>
                  </w:r>
                </w:p>
                <w:p w:rsidR="00CE5C9B" w:rsidRPr="00CE5C9B" w:rsidRDefault="00CE5C9B" w:rsidP="00CE5C9B">
                  <w:pPr>
                    <w:widowControl/>
                    <w:spacing w:line="315" w:lineRule="atLeast"/>
                    <w:ind w:leftChars="71" w:left="149" w:right="150" w:firstLineChars="200" w:firstLine="422"/>
                    <w:jc w:val="left"/>
                    <w:rPr>
                      <w:rFonts w:ascii="宋体" w:hAnsi="宋体" w:cs="宋体"/>
                      <w:kern w:val="0"/>
                      <w:szCs w:val="21"/>
                    </w:rPr>
                  </w:pPr>
                  <w:proofErr w:type="gramStart"/>
                  <w:r w:rsidRPr="00CE5C9B">
                    <w:rPr>
                      <w:rFonts w:ascii="宋体" w:hAnsi="宋体" w:cs="宋体"/>
                      <w:b/>
                      <w:bCs/>
                      <w:kern w:val="0"/>
                      <w:szCs w:val="21"/>
                    </w:rPr>
                    <w:t>等级赋分制</w:t>
                  </w:r>
                  <w:proofErr w:type="gramEnd"/>
                  <w:r w:rsidRPr="00CE5C9B">
                    <w:rPr>
                      <w:rFonts w:ascii="宋体" w:hAnsi="宋体" w:cs="宋体"/>
                      <w:b/>
                      <w:bCs/>
                      <w:kern w:val="0"/>
                      <w:szCs w:val="21"/>
                    </w:rPr>
                    <w:t>下学生如何选科？</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新高考实施选择性科目设置，旨在破除“唯分数论”“文理分科”的弊端，发展学生的兴趣和特长，促进文理融通，为经济社会发展选拔和培养知识、素质、能力结构全面的人才。在突出选择性的背景下，如何让学生“利益最大化”？尊重自己的兴趣与爱好，就是最好的“利益最大化”。</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如前所述，随着新高考在全国范围内的推进，</w:t>
                  </w:r>
                  <w:proofErr w:type="gramStart"/>
                  <w:r w:rsidRPr="00CE5C9B">
                    <w:rPr>
                      <w:rFonts w:ascii="宋体" w:hAnsi="宋体" w:cs="宋体"/>
                      <w:kern w:val="0"/>
                      <w:szCs w:val="21"/>
                    </w:rPr>
                    <w:t>等级赋分制</w:t>
                  </w:r>
                  <w:proofErr w:type="gramEnd"/>
                  <w:r w:rsidRPr="00CE5C9B">
                    <w:rPr>
                      <w:rFonts w:ascii="宋体" w:hAnsi="宋体" w:cs="宋体"/>
                      <w:kern w:val="0"/>
                      <w:szCs w:val="21"/>
                    </w:rPr>
                    <w:t>在逐步完善，因为技术设计上的缺陷而导致学生进行选科博弈的状况逐步得到改善，而且，无论是国家层面还是高校层面，都在积极引导学生进行合理的科目、专业选择。在这种背景下，学生选择自己喜欢和擅长的科目，将是一种“利益最大化”的理性选择。</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从笔者长期的跟踪调查来看，无论高中的教师、学生及其家长，还是高校的教师、学生，都非常认可新高考增加了选择性的特点。从高中阶段来说，学生根据自</w:t>
                  </w:r>
                  <w:r w:rsidRPr="00CE5C9B">
                    <w:rPr>
                      <w:rFonts w:ascii="宋体" w:hAnsi="宋体" w:cs="宋体"/>
                      <w:kern w:val="0"/>
                      <w:szCs w:val="21"/>
                    </w:rPr>
                    <w:lastRenderedPageBreak/>
                    <w:t>己的兴趣选择自己喜欢和擅长的科目，可以扬长避短，使自己的潜能得到最大化的发挥，同时因为都是自己喜欢的科目，学生会觉得“越学越开心”，也更有动力克服学习过程中的困难。从进入大学之后来看，新高考生源的专业认同度更高，继而也会对学习成绩和学业表现带来正向的激励作用。相反，没有尊重自己的兴趣选择、听取家长或者教师建议选择“更热门”专业的学生，可能会面临学业困难，不得不进行专业分流。</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从更广泛的范围来讲，在当前国内外政治格局背景下，我国经济社会发展对人才提出了更高的要求。一方面，我国急需提升国家自主创新能力，解决“卡脖子”技术领域人才短缺与技术难题，这就需要学生具有更加宽广的知识基础，具有创新性精神和批判能力。另一方面，我国急需培养高素质的应用型人才，全面推进技能型社会建设，这就需要学生具有实践动手能力，有志于成为“大国工匠”。少年强则国强。这是高中学生在进行科目选择、专业选择或者更长远生涯规划的时候，不得不考虑的社会责任与担当。</w:t>
                  </w:r>
                </w:p>
                <w:p w:rsidR="00CE5C9B" w:rsidRPr="00CE5C9B" w:rsidRDefault="00CE5C9B" w:rsidP="00CE5C9B">
                  <w:pPr>
                    <w:widowControl/>
                    <w:spacing w:before="150" w:after="150" w:line="315" w:lineRule="atLeast"/>
                    <w:ind w:leftChars="71" w:left="149" w:right="150" w:firstLineChars="200" w:firstLine="420"/>
                    <w:jc w:val="left"/>
                    <w:rPr>
                      <w:rFonts w:ascii="宋体" w:hAnsi="宋体" w:cs="宋体"/>
                      <w:kern w:val="0"/>
                      <w:szCs w:val="21"/>
                    </w:rPr>
                  </w:pPr>
                  <w:r w:rsidRPr="00CE5C9B">
                    <w:rPr>
                      <w:rFonts w:ascii="宋体" w:hAnsi="宋体" w:cs="宋体"/>
                      <w:kern w:val="0"/>
                      <w:szCs w:val="21"/>
                    </w:rPr>
                    <w:t>（作者系北京师范大学中国教育政策研究院副教授）</w:t>
                  </w:r>
                </w:p>
              </w:tc>
            </w:tr>
          </w:tbl>
          <w:p w:rsidR="00CE5C9B" w:rsidRPr="00CE5C9B" w:rsidRDefault="00CE5C9B" w:rsidP="00CE5C9B">
            <w:pPr>
              <w:widowControl/>
              <w:jc w:val="left"/>
              <w:rPr>
                <w:rFonts w:ascii="宋体" w:hAnsi="宋体" w:cs="宋体"/>
                <w:color w:val="000000"/>
                <w:kern w:val="0"/>
                <w:sz w:val="18"/>
                <w:szCs w:val="18"/>
              </w:rPr>
            </w:pPr>
          </w:p>
        </w:tc>
      </w:tr>
    </w:tbl>
    <w:p w:rsidR="00CE5C9B" w:rsidRPr="00CE5C9B" w:rsidRDefault="00CE5C9B"/>
    <w:sectPr w:rsidR="00CE5C9B" w:rsidRPr="00CE5C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BB" w:rsidRDefault="00376CBB" w:rsidP="00CE5C9B">
      <w:r>
        <w:separator/>
      </w:r>
    </w:p>
  </w:endnote>
  <w:endnote w:type="continuationSeparator" w:id="0">
    <w:p w:rsidR="00376CBB" w:rsidRDefault="00376CBB" w:rsidP="00CE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BB" w:rsidRDefault="00376CBB" w:rsidP="00CE5C9B">
      <w:r>
        <w:separator/>
      </w:r>
    </w:p>
  </w:footnote>
  <w:footnote w:type="continuationSeparator" w:id="0">
    <w:p w:rsidR="00376CBB" w:rsidRDefault="00376CBB" w:rsidP="00CE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F9"/>
    <w:rsid w:val="000F57F9"/>
    <w:rsid w:val="0019414B"/>
    <w:rsid w:val="00376CBB"/>
    <w:rsid w:val="004977F9"/>
    <w:rsid w:val="00587BCB"/>
    <w:rsid w:val="006273B0"/>
    <w:rsid w:val="009B173C"/>
    <w:rsid w:val="00A5395C"/>
    <w:rsid w:val="00B66583"/>
    <w:rsid w:val="00CE5C9B"/>
    <w:rsid w:val="00DF5101"/>
    <w:rsid w:val="00EB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unhideWhenUsed/>
    <w:rsid w:val="00CE5C9B"/>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CE5C9B"/>
    <w:rPr>
      <w:sz w:val="18"/>
      <w:szCs w:val="18"/>
    </w:rPr>
  </w:style>
  <w:style w:type="character" w:customStyle="1" w:styleId="Char1">
    <w:name w:val="批注框文本 Char"/>
    <w:basedOn w:val="a0"/>
    <w:link w:val="a8"/>
    <w:uiPriority w:val="99"/>
    <w:semiHidden/>
    <w:rsid w:val="00CE5C9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unhideWhenUsed/>
    <w:rsid w:val="00CE5C9B"/>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CE5C9B"/>
    <w:rPr>
      <w:sz w:val="18"/>
      <w:szCs w:val="18"/>
    </w:rPr>
  </w:style>
  <w:style w:type="character" w:customStyle="1" w:styleId="Char1">
    <w:name w:val="批注框文本 Char"/>
    <w:basedOn w:val="a0"/>
    <w:link w:val="a8"/>
    <w:uiPriority w:val="99"/>
    <w:semiHidden/>
    <w:rsid w:val="00CE5C9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8787">
      <w:bodyDiv w:val="1"/>
      <w:marLeft w:val="0"/>
      <w:marRight w:val="0"/>
      <w:marTop w:val="0"/>
      <w:marBottom w:val="0"/>
      <w:divBdr>
        <w:top w:val="none" w:sz="0" w:space="0" w:color="auto"/>
        <w:left w:val="none" w:sz="0" w:space="0" w:color="auto"/>
        <w:bottom w:val="none" w:sz="0" w:space="0" w:color="auto"/>
        <w:right w:val="none" w:sz="0" w:space="0" w:color="auto"/>
      </w:divBdr>
      <w:divsChild>
        <w:div w:id="918633470">
          <w:marLeft w:val="0"/>
          <w:marRight w:val="0"/>
          <w:marTop w:val="0"/>
          <w:marBottom w:val="0"/>
          <w:divBdr>
            <w:top w:val="none" w:sz="0" w:space="0" w:color="auto"/>
            <w:left w:val="none" w:sz="0" w:space="0" w:color="auto"/>
            <w:bottom w:val="none" w:sz="0" w:space="0" w:color="auto"/>
            <w:right w:val="none" w:sz="0" w:space="0" w:color="auto"/>
          </w:divBdr>
        </w:div>
      </w:divsChild>
    </w:div>
    <w:div w:id="2045784693">
      <w:bodyDiv w:val="1"/>
      <w:marLeft w:val="0"/>
      <w:marRight w:val="0"/>
      <w:marTop w:val="0"/>
      <w:marBottom w:val="0"/>
      <w:divBdr>
        <w:top w:val="none" w:sz="0" w:space="0" w:color="auto"/>
        <w:left w:val="none" w:sz="0" w:space="0" w:color="auto"/>
        <w:bottom w:val="none" w:sz="0" w:space="0" w:color="auto"/>
        <w:right w:val="none" w:sz="0" w:space="0" w:color="auto"/>
      </w:divBdr>
      <w:divsChild>
        <w:div w:id="142214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2022-12-25T13:47:00Z</dcterms:created>
  <dcterms:modified xsi:type="dcterms:W3CDTF">2022-12-25T13:52:00Z</dcterms:modified>
</cp:coreProperties>
</file>