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/>
        <w:jc w:val="center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江苏省仪征中学20</w:t>
      </w:r>
      <w:r>
        <w:rPr>
          <w:rFonts w:ascii="黑体" w:hAnsi="黑体" w:eastAsia="黑体" w:cstheme="minorBidi"/>
          <w:sz w:val="28"/>
          <w:szCs w:val="28"/>
        </w:rPr>
        <w:t>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theme="minorBidi"/>
          <w:sz w:val="28"/>
          <w:szCs w:val="28"/>
        </w:rPr>
        <w:t>—202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theme="minorBidi"/>
          <w:sz w:val="28"/>
          <w:szCs w:val="28"/>
        </w:rPr>
        <w:t>学年度第一学期高一化学学科导学案</w:t>
      </w:r>
    </w:p>
    <w:p>
      <w:pPr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专题2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第二单元 溶液组成的定量研究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第二节 化学反应的计算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毛翰文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</w:p>
    <w:p>
      <w:pPr>
        <w:jc w:val="center"/>
        <w:rPr>
          <w:rFonts w:ascii="楷体" w:hAnsi="楷体" w:eastAsia="楷体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bCs/>
          <w:sz w:val="24"/>
        </w:rPr>
        <w:t>班级：______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</w:t>
      </w:r>
      <w:bookmarkEnd w:id="0"/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pStyle w:val="6"/>
        <w:ind w:firstLine="420" w:firstLineChars="200"/>
        <w:rPr>
          <w:sz w:val="24"/>
          <w:szCs w:val="24"/>
        </w:rPr>
      </w:pPr>
      <w:r>
        <w:rPr>
          <w:rFonts w:hint="eastAsia"/>
        </w:rPr>
        <w:t>能基于物质的量认识物质组成及其化学变化，运用物质的量、摩尔质量、气体摩尔体积、物质的量浓度之间的相互关系进行简单计算。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Times New Roman" w:hAnsi="Times New Roman" w:cs="Times New Roman"/>
          <w:b/>
          <w:szCs w:val="21"/>
        </w:rPr>
        <w:t>学习目标】</w:t>
      </w:r>
    </w:p>
    <w:p>
      <w:pPr>
        <w:pStyle w:val="6"/>
        <w:ind w:firstLine="420" w:firstLineChars="200"/>
      </w:pPr>
      <w:r>
        <w:t>1</w:t>
      </w:r>
      <w:r>
        <w:rPr>
          <w:rFonts w:hint="eastAsia"/>
        </w:rPr>
        <w:t>．</w:t>
      </w:r>
      <w:r>
        <w:t>能熟练应用有关物质的量</w:t>
      </w:r>
      <w:r>
        <w:rPr>
          <w:i/>
        </w:rPr>
        <w:t>n</w:t>
      </w:r>
      <w:r>
        <w:t>与微粒数</w:t>
      </w:r>
      <w:r>
        <w:rPr>
          <w:i/>
        </w:rPr>
        <w:t>N</w:t>
      </w:r>
      <w:r>
        <w:t>、物质的质量</w:t>
      </w:r>
      <w:r>
        <w:rPr>
          <w:i/>
        </w:rPr>
        <w:t>m</w:t>
      </w:r>
      <w:r>
        <w:t>、气体体积</w:t>
      </w:r>
      <w:r>
        <w:rPr>
          <w:i/>
        </w:rPr>
        <w:t>V</w:t>
      </w:r>
      <w:r>
        <w:t>、溶液物质的量浓度</w:t>
      </w:r>
      <w:r>
        <w:rPr>
          <w:i/>
        </w:rPr>
        <w:t>c</w:t>
      </w:r>
      <w:r>
        <w:t>间的计算公式，巩固以物质的量为中心的各物理量之间的换算方法。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/>
        </w:rPr>
        <w:t>．</w:t>
      </w:r>
      <w:r>
        <w:t>能基于物质的量认识化学变化，从定量的角度认识化学反应。能运用物质的量及相关物理量根据化学方程式进行简单计算，体会定量研究对化学科学的重要作用，掌握计算的技巧和方法。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【学习过程】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b/>
          <w:bCs/>
          <w:i/>
          <w:iCs/>
          <w:sz w:val="24"/>
          <w:szCs w:val="28"/>
        </w:rPr>
        <w:t>导学：</w:t>
      </w:r>
      <w:r>
        <w:rPr>
          <w:rFonts w:ascii="宋体" w:hAnsi="宋体"/>
          <w:b/>
          <w:bCs/>
          <w:i/>
          <w:iCs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8"/>
        </w:rPr>
        <w:t>知识梳理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物质的量在化学反应计算中的应用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物质的量与各物理量之间的关系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(1)换算关系：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880360" cy="1418590"/>
            <wp:effectExtent l="0" t="0" r="15240" b="10160"/>
            <wp:docPr id="89" name="图片 1" descr="说明: XX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" descr="说明: XX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(2)计算公式：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(B)＝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（B）,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（B）)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[B（g）],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（B）,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(B)·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[B(aq)]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化学反应中的计量关系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化学方程式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2Na＋2H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6"/>
              </w:rPr>
              <w:t>==</w:t>
            </w:r>
            <w:r>
              <w:rPr>
                <w:rFonts w:ascii="Times New Roman" w:hAnsi="Times New Roman" w:cs="Times New Roman"/>
              </w:rPr>
              <w:t>=2NaOH＋H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hAnsi="宋体" w:cs="Times New Roma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化学计量数之比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∶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∶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∶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扩大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倍之后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u w:val="single"/>
                <w:vertAlign w:val="subscript"/>
              </w:rPr>
              <w:t xml:space="preserve">  </w:t>
            </w:r>
            <w:r>
              <w:rPr>
                <w:rFonts w:hAnsi="宋体" w:cs="Times New Roman"/>
              </w:rPr>
              <w:t>∶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u w:val="single"/>
                <w:vertAlign w:val="subscript"/>
              </w:rPr>
              <w:t xml:space="preserve">  </w:t>
            </w:r>
            <w:r>
              <w:rPr>
                <w:rFonts w:hAnsi="宋体" w:cs="Times New Roman"/>
              </w:rPr>
              <w:t>∶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u w:val="single"/>
                <w:vertAlign w:val="subscript"/>
              </w:rPr>
              <w:t xml:space="preserve">  </w:t>
            </w:r>
            <w:r>
              <w:rPr>
                <w:rFonts w:hAnsi="宋体" w:cs="Times New Roman"/>
              </w:rPr>
              <w:t>∶</w:t>
            </w:r>
            <w:r>
              <w:rPr>
                <w:rFonts w:hint="eastAsia" w:ascii="Times New Roman" w:hAnsi="Times New Roman" w:cs="Times New Roman"/>
                <w:i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u w:val="single"/>
                <w:vertAlign w:val="subscript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物质的量之比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Ansi="宋体" w:cs="Times New Roman"/>
              </w:rPr>
              <w:t>∶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Ansi="宋体" w:cs="Times New Roman"/>
              </w:rPr>
              <w:t>∶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Ansi="宋体" w:cs="Times New Roman"/>
              </w:rPr>
              <w:t>∶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质量之比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g</w:t>
            </w:r>
            <w:r>
              <w:rPr>
                <w:rFonts w:hAnsi="宋体" w:cs="Times New Roman"/>
              </w:rPr>
              <w:t>∶</w:t>
            </w:r>
            <w:r>
              <w:rPr>
                <w:rFonts w:ascii="Times New Roman" w:hAnsi="Times New Roman" w:cs="Times New Roman"/>
              </w:rPr>
              <w:t xml:space="preserve">36 g </w:t>
            </w:r>
            <w:r>
              <w:rPr>
                <w:rFonts w:hAnsi="宋体" w:cs="Times New Roman"/>
              </w:rPr>
              <w:t>∶</w:t>
            </w:r>
            <w:r>
              <w:rPr>
                <w:rFonts w:ascii="Times New Roman" w:hAnsi="Times New Roman" w:cs="Times New Roman"/>
              </w:rPr>
              <w:t>80 g</w:t>
            </w:r>
            <w:r>
              <w:rPr>
                <w:rFonts w:hAnsi="宋体" w:cs="Times New Roman"/>
              </w:rPr>
              <w:t>∶</w:t>
            </w:r>
            <w:r>
              <w:rPr>
                <w:rFonts w:ascii="Times New Roman" w:hAnsi="Times New Roman" w:cs="Times New Roman"/>
              </w:rPr>
              <w:t xml:space="preserve">2 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化学方程式中各物质的化学计量数之比＝各物质的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之比＝各物质的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之比＝参加反应的气体物质的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(相同状况)之比。</w:t>
            </w: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【自测】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判断正误，正确的打</w:t>
      </w:r>
      <w:r>
        <w:rPr>
          <w:rFonts w:hAnsi="宋体" w:cs="Times New Roman"/>
        </w:rPr>
        <w:t>“√”</w:t>
      </w:r>
      <w:r>
        <w:rPr>
          <w:rFonts w:ascii="Times New Roman" w:hAnsi="Times New Roman" w:cs="Times New Roman"/>
        </w:rPr>
        <w:t>，错误的打</w:t>
      </w:r>
      <w:r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(1)化学方程式C＋H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=,\s\up7(高温))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CO＋H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可表示1 mol碳单质与1 mol水蒸气在高温条件下完全反应生成1 mol一氧化碳和1 mol氢气(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(2)书写化学方程式时，只要在化学方程式的左右两端写上反应物和生成物即可，如H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(3)体积为22.4 L的H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的质量为2 g，物质的量为1 mol(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(4)根据分子的物质的量和分子数可计算阿伏加德罗常数(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(5)物质在发生化</w:t>
      </w:r>
      <w:r>
        <w:rPr>
          <w:rFonts w:hint="eastAsia" w:ascii="Times New Roman" w:hAnsi="Times New Roman" w:cs="Times New Roman"/>
        </w:rPr>
        <w:t>学反应时，它们的质量比等于化学方程式中化学计量数之比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t>一、物质的量应用于化学反应的计算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46455" cy="218440"/>
            <wp:effectExtent l="0" t="0" r="10795" b="10160"/>
            <wp:docPr id="90" name="图片 3" descr="说明: 核心归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3" descr="说明: 核心归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物质的量应用于化学方程式计算的基本步骤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976245" cy="2033270"/>
            <wp:effectExtent l="0" t="0" r="14605" b="5080"/>
            <wp:docPr id="91" name="图片 4" descr="说明: XX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4" descr="说明: XX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计算过程中的规范化注意事项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(1)书写格式规范化：在根据化学方程式计算的过程中，各物理量、物质名称、公式等尽量用符号表示，且数据的运算要公式化并带单位。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(2)单位运用对应化：根据化学方程式计算时，要注意两个量的单位要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上下一致，左右相当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(3)如果两种反应物的量都是已知的，求解某种产物的量时，必须比较每种已知量与对应化学方程式中计量数比值大小，谁大谁过量，先判断哪种物质过量，然后根据不足量的物质进行计算。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对于反应：2A(g)＋2B(g)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=3C(g)＋D(g)，化学计量数之比与下列各项不等的是(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分子数之比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物质的量之比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质量之比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气体体积之比(同温同压)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标准状况下，2.8 g铁与足量的稀硫酸反应生成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L氢气，下列关系正确的是(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</w:pPr>
      <w:r>
        <w:drawing>
          <wp:inline distT="0" distB="0" distL="114300" distR="114300">
            <wp:extent cx="2390775" cy="1529080"/>
            <wp:effectExtent l="0" t="0" r="9525" b="13970"/>
            <wp:docPr id="9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7517" cy="15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114300" distR="114300">
            <wp:extent cx="2619375" cy="1454785"/>
            <wp:effectExtent l="0" t="0" r="9525" b="12065"/>
            <wp:docPr id="9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931" cy="146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把5.1 g镁铝合金的粉末放入过量的盐酸中，得到5.6 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(标准状况)该</w:t>
      </w:r>
      <w:r>
        <w:rPr>
          <w:rFonts w:hint="eastAsia" w:ascii="Times New Roman" w:hAnsi="Times New Roman" w:cs="Times New Roman"/>
        </w:rPr>
        <w:t>合金中铝和镁的物质的量之比为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>
      <w:pPr>
        <w:pStyle w:val="2"/>
        <w:tabs>
          <w:tab w:val="left" w:pos="5529"/>
        </w:tabs>
        <w:snapToGrid w:val="0"/>
        <w:spacing w:line="276" w:lineRule="auto"/>
      </w:pPr>
      <w:r>
        <w:t>二、化学方程式计算中的常用解题技巧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守恒法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物质在发生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或两物质在发生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相互作用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的过程中某些物理量的总量保持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。在化学变化中的各种各样的守恒，如元素质量守恒。</w:t>
      </w:r>
    </w:p>
    <w:p>
      <w:pPr>
        <w:pStyle w:val="2"/>
        <w:tabs>
          <w:tab w:val="left" w:pos="5529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880360" cy="1446530"/>
            <wp:effectExtent l="0" t="0" r="15240" b="1270"/>
            <wp:docPr id="94" name="图片 11" descr="说明: xx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1" descr="说明: xx1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如工业制硝酸：4NH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=,\s\up11(催化剂),\s\do4(</w:instrText>
      </w:r>
      <w:r>
        <w:rPr>
          <w:rFonts w:hAnsi="宋体" w:cs="Times New Roman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4NO＋6H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O, 2NO＋O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，3NO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＋NO。经多次氧化和吸收，由N元素质量守恒知：NH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差量法</w:t>
      </w:r>
    </w:p>
    <w:p>
      <w:pPr>
        <w:pStyle w:val="2"/>
        <w:tabs>
          <w:tab w:val="left" w:pos="5529"/>
        </w:tabs>
        <w:snapToGrid w:val="0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根据化学反应前后物质的有关物理量发生的变化，找出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理论差量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，如反应前后的质量差、物质的量差、气体体积差等，该差量与反应物、生成物的有关量成正比。差量法就是借助这种比例关系求解的方法。</w:t>
      </w:r>
    </w:p>
    <w:p>
      <w:pPr>
        <w:pStyle w:val="2"/>
        <w:tabs>
          <w:tab w:val="left" w:pos="5529"/>
        </w:tabs>
        <w:snapToGrid w:val="0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差量可以是物质的量的差，对固体、液体而言，差量可以是质量差、粒子个数差；对气体而言，差量还可以是同温、同压下的体积差。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(1)固体质量差示例：对化学反应CuO＋H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</w:instrText>
      </w:r>
      <w:r>
        <w:rPr>
          <w:rFonts w:hint="eastAsia" w:hAnsi="宋体" w:cs="Times New Roman"/>
          <w:position w:val="-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Cu＋H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O中的固体物质作定量研究会发现，每80 g CuO发生反应，同时有64 g Cu生成，反应前后固体的质量差为16 g，此质量关系可表示为：</w:t>
      </w:r>
    </w:p>
    <w:p>
      <w:pPr>
        <w:pStyle w:val="2"/>
        <w:tabs>
          <w:tab w:val="left" w:pos="5529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2969260" cy="593725"/>
            <wp:effectExtent l="0" t="0" r="2540" b="15875"/>
            <wp:docPr id="9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这个固体质量差(Δ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)我们称之为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差量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。若取任意量的CuO与H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发生化学反应，参加反应的固体与生成的固体</w:t>
      </w:r>
      <w:r>
        <w:rPr>
          <w:rFonts w:hint="eastAsia" w:ascii="Times New Roman" w:hAnsi="Times New Roman" w:cs="Times New Roman"/>
        </w:rPr>
        <w:t>在质量上有定量关系：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（CuO）,80)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（Cu）,64)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（CuO）－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（Cu）,16)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。 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(2)气体体积差示例，实验室可将氧气通过高压放电管来制取臭氧：3O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=,\s\up7(放电))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2O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。将8 L氧气通过放电管后恢复到原状况，得到气体6.5 L，据此求臭氧的体积。</w:t>
      </w:r>
    </w:p>
    <w:p>
      <w:pPr>
        <w:pStyle w:val="2"/>
        <w:tabs>
          <w:tab w:val="left" w:pos="5529"/>
        </w:tabs>
        <w:snapToGrid w:val="0"/>
        <w:spacing w:line="276" w:lineRule="auto"/>
        <w:ind w:firstLine="630" w:firstLineChars="300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657350" cy="739775"/>
            <wp:effectExtent l="0" t="0" r="0" b="3175"/>
            <wp:docPr id="9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5374" cy="7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（O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）,2)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\f(8 L－6.5 L,1)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(O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)＝3 L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关系式法</w:t>
      </w:r>
    </w:p>
    <w:p>
      <w:pPr>
        <w:pStyle w:val="2"/>
        <w:tabs>
          <w:tab w:val="left" w:pos="5529"/>
        </w:tabs>
        <w:snapToGrid w:val="0"/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一般用于解答连续反应类型的计算。关系式是表示物质间关系的一种简化式子，能解决多步反应，计算最简捷。多步反应中建立关系式的方法：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42870" cy="1752600"/>
            <wp:effectExtent l="0" t="0" r="5080" b="0"/>
            <wp:docPr id="97" name="图片 14" descr="说明: XX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4" descr="说明: XX1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9795" cy="175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如利用木炭、水蒸气制取氨气：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 \rc\}(\a\vs4\al\co1(C＋H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O（g）\o(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=,\s\up7(高温))CO＋H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,CO＋H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O（g）\o(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=,\s\up7(高温))CO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Cambria Math" w:hAnsi="Cambria Math" w:cs="Cambria Math"/>
        </w:rPr>
        <w:t xml:space="preserve">⇒       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 \rc\}(\a\vs4\al\co1(C＋2H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O（g）\o(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=,\s\up11(高温))CO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=,\s\up7(高温、高压),\s\do4(催化剂))2NH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Cambria Math" w:hAnsi="Cambria Math" w:cs="Cambria Math"/>
        </w:rPr>
        <w:t>⇒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由木炭、水蒸气制取NH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的关系为3C～6H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～4NH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，即3C ～4NH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将一定量的铁放入稀硫酸中，完全反应后，溶液质量增加5.4 g，计算参加反应的铁的物质的量(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5.6 g          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0.1 mol           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5.4 g          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 mol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L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通过灼热的装有铁触媒的硬质玻璃管发生反应2NH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(g)后，气体体积变为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L(气体体积均在同温同压下测定)，该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L 气体中NH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的体积分数是(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6.已知Fe＋S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</w:instrText>
      </w:r>
      <w:r>
        <w:rPr>
          <w:rFonts w:hAnsi="宋体" w:cs="Times New Roman"/>
          <w:position w:val="-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FeS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FeS＋2HCl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，2H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S＋3O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=,\s\up7(点燃))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O，一定量的铁粉和9 g硫粉混合加热，待其反应后再加入过量盐酸，将生成的气体完全燃烧，其收集得9 g水，则加入的铁粉质量为(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14 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42 g  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56 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28 g</w:t>
      </w:r>
    </w:p>
    <w:p>
      <w:pPr>
        <w:pStyle w:val="6"/>
        <w:rPr>
          <w:rFonts w:hAnsi="宋体"/>
          <w:b/>
          <w:bCs/>
          <w:i/>
          <w:iCs/>
          <w:sz w:val="24"/>
          <w:szCs w:val="36"/>
        </w:rPr>
      </w:pPr>
    </w:p>
    <w:p>
      <w:pPr>
        <w:pStyle w:val="6"/>
        <w:rPr>
          <w:rFonts w:hAnsi="宋体"/>
          <w:b/>
          <w:bCs/>
          <w:i/>
          <w:iCs/>
          <w:sz w:val="24"/>
          <w:szCs w:val="24"/>
        </w:rPr>
      </w:pPr>
      <w:r>
        <w:rPr>
          <w:rFonts w:hint="eastAsia" w:hAnsi="宋体"/>
          <w:b/>
          <w:bCs/>
          <w:i/>
          <w:iCs/>
          <w:sz w:val="24"/>
          <w:szCs w:val="36"/>
        </w:rPr>
        <w:t>导航：</w:t>
      </w:r>
      <w:r>
        <w:rPr>
          <w:rFonts w:hint="eastAsia" w:hAnsi="宋体"/>
          <w:b/>
          <w:bCs/>
          <w:i/>
          <w:iCs/>
          <w:sz w:val="24"/>
          <w:szCs w:val="24"/>
        </w:rPr>
        <w:t xml:space="preserve"> </w:t>
      </w: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pStyle w:val="3"/>
        <w:snapToGrid w:val="0"/>
        <w:spacing w:before="0" w:after="0"/>
        <w:jc w:val="both"/>
        <w:rPr>
          <w:rFonts w:ascii="宋体" w:hAnsi="宋体"/>
          <w:i/>
          <w:iCs/>
          <w:sz w:val="24"/>
          <w:szCs w:val="28"/>
        </w:rPr>
      </w:pPr>
      <w:r>
        <w:rPr>
          <w:rFonts w:hint="eastAsia" w:ascii="宋体" w:hAnsi="宋体"/>
          <w:i/>
          <w:iCs/>
          <w:sz w:val="24"/>
          <w:szCs w:val="28"/>
        </w:rPr>
        <w:t>导悟：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C1F8B"/>
    <w:rsid w:val="235F57F3"/>
    <w:rsid w:val="2B307C27"/>
    <w:rsid w:val="7A6A04A0"/>
    <w:rsid w:val="7B1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6">
    <w:name w:val="导学案正文"/>
    <w:basedOn w:val="2"/>
    <w:qFormat/>
    <w:uiPriority w:val="0"/>
    <w:pPr>
      <w:tabs>
        <w:tab w:val="left" w:pos="5387"/>
      </w:tabs>
      <w:spacing w:line="276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2025-09-11T07:10:00Z</dcterms:created>
  <dc:creator>毛翰文</dc:creator>
  <cp:lastModifiedBy>毛翰文</cp:lastModifiedBy>
  <dcterms:modified xsi:type="dcterms:W3CDTF">2025-09-18T00:01:53Z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29FF70AF33694F8E81B35947B693BA51</vt:lpwstr>
  </property>
</Properties>
</file>