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bookmarkStart w:id="0" w:name="OLE_LINK1"/>
      <w:r>
        <w:rPr>
          <w:rFonts w:hint="eastAsia" w:ascii="Times New Roman" w:hAnsi="Times New Roman" w:eastAsia="黑体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6</w:t>
      </w:r>
      <w:bookmarkEnd w:id="0"/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eastAsia="黑体" w:cs="黑体"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Cs/>
          <w:color w:val="000000"/>
          <w:kern w:val="0"/>
          <w:sz w:val="24"/>
          <w:szCs w:val="24"/>
        </w:rPr>
        <w:t>第1讲　动量定理及应用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lang w:eastAsia="zh-CN"/>
        </w:rPr>
      </w:pPr>
      <w:bookmarkStart w:id="2" w:name="_GoBack"/>
      <w:bookmarkStart w:id="1" w:name="OLE_LINK2"/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付克文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 审核人：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周福林</w:t>
      </w:r>
      <w:bookmarkEnd w:id="1"/>
    </w:p>
    <w:bookmarkEnd w:id="2"/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8</w:t>
      </w:r>
    </w:p>
    <w:p>
      <w:pPr>
        <w:widowControl/>
        <w:adjustRightInd w:val="0"/>
        <w:snapToGrid w:val="0"/>
        <w:spacing w:line="240" w:lineRule="atLeast"/>
        <w:rPr>
          <w:rFonts w:ascii="宋体" w:cs="宋体"/>
          <w:color w:val="000000"/>
          <w:szCs w:val="21"/>
        </w:rPr>
      </w:pPr>
      <w:r>
        <w:rPr>
          <w:rFonts w:hint="eastAsia" w:ascii="宋体" w:cs="宋体"/>
          <w:b/>
          <w:bCs/>
          <w:szCs w:val="21"/>
        </w:rPr>
        <w:t>【课程标准】</w:t>
      </w:r>
    </w:p>
    <w:p>
      <w:pPr>
        <w:widowControl/>
        <w:adjustRightInd w:val="0"/>
        <w:snapToGrid w:val="0"/>
        <w:spacing w:line="240" w:lineRule="atLeast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ascii="宋体" w:cs="宋体"/>
          <w:color w:val="auto"/>
          <w:kern w:val="0"/>
          <w:szCs w:val="21"/>
        </w:rPr>
        <w:t>理解冲量和动量</w:t>
      </w:r>
      <w:r>
        <w:rPr>
          <w:rFonts w:hint="eastAsia" w:ascii="宋体" w:cs="宋体"/>
          <w:color w:val="auto"/>
          <w:kern w:val="0"/>
          <w:szCs w:val="21"/>
        </w:rPr>
        <w:t>，</w:t>
      </w:r>
      <w:r>
        <w:rPr>
          <w:rFonts w:ascii="宋体" w:cs="宋体"/>
          <w:color w:val="auto"/>
          <w:kern w:val="0"/>
          <w:szCs w:val="21"/>
        </w:rPr>
        <w:t>通过理论推导和实验，理解动量定理，能用其解释生产生活中的有关现象。</w:t>
      </w:r>
    </w:p>
    <w:p>
      <w:pPr>
        <w:widowControl/>
        <w:adjustRightInd w:val="0"/>
        <w:snapToGrid w:val="0"/>
        <w:spacing w:line="240" w:lineRule="atLeast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cs="宋体"/>
          <w:b/>
          <w:bCs/>
          <w:color w:val="auto"/>
          <w:szCs w:val="21"/>
        </w:rPr>
        <w:t>【自主导学】</w:t>
      </w:r>
    </w:p>
    <w:p>
      <w:pPr>
        <w:widowControl/>
        <w:numPr>
          <w:ilvl w:val="0"/>
          <w:numId w:val="1"/>
        </w:numPr>
        <w:spacing w:line="270" w:lineRule="exact"/>
        <w:jc w:val="left"/>
        <w:rPr>
          <w:rFonts w:ascii="宋体" w:cs="宋体"/>
          <w:szCs w:val="21"/>
        </w:rPr>
      </w:pPr>
      <w:r>
        <w:rPr>
          <w:rFonts w:hint="eastAsia" w:ascii="宋体" w:cs="宋体"/>
          <w:szCs w:val="21"/>
        </w:rPr>
        <w:t>掌握动量、动量变化和冲量的概念</w:t>
      </w:r>
    </w:p>
    <w:p>
      <w:pPr>
        <w:pStyle w:val="6"/>
        <w:tabs>
          <w:tab w:val="left" w:pos="4680"/>
        </w:tabs>
        <w:snapToGrid w:val="0"/>
        <w:spacing w:line="360" w:lineRule="auto"/>
        <w:rPr>
          <w:rFonts w:ascii="Times New Roman" w:eastAsia="黑体" w:cs="Times New Roman"/>
        </w:rPr>
      </w:pPr>
      <w:r>
        <w:rPr>
          <w:rFonts w:cs="宋体"/>
        </w:rPr>
        <w:t>2、</w:t>
      </w:r>
      <w:r>
        <w:rPr>
          <w:rFonts w:hint="eastAsia" w:cs="宋体"/>
        </w:rPr>
        <w:t>动量定理的理解与应用</w:t>
      </w:r>
    </w:p>
    <w:p>
      <w:pPr>
        <w:widowControl/>
        <w:spacing w:line="2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rPr>
          <w:rFonts w:ascii="Times New Roman" w:hAnsi="Times New Roman" w:eastAsia="隶书"/>
        </w:rPr>
        <w:t>考点一</w:t>
      </w:r>
      <w:r>
        <w:rPr>
          <w:rFonts w:hint="eastAsia" w:ascii="Times New Roman" w:hAnsi="Times New Roman" w:eastAsia="隶书"/>
        </w:rPr>
        <w:t>、</w:t>
      </w:r>
      <w:r>
        <w:t>动量和冲量</w:t>
      </w:r>
      <w:r>
        <w:rPr>
          <w:rFonts w:ascii="Times New Roman" w:hAnsi="Times New Roman" w:eastAsia="隶书"/>
        </w:rPr>
        <w:t>　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1" name="_x0000_i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例1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4" name="_x0000_i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如图所示，表面光滑的楔形物块</w:t>
      </w:r>
      <w:r>
        <w:rPr>
          <w:rFonts w:ascii="Times New Roman" w:cs="Times New Roman"/>
          <w:i/>
        </w:rPr>
        <w:t>ABC</w:t>
      </w:r>
      <w:r>
        <w:rPr>
          <w:rFonts w:ascii="Times New Roman" w:cs="Times New Roman"/>
        </w:rPr>
        <w:t>固定在水平地面上，</w:t>
      </w:r>
      <w:r>
        <w:rPr>
          <w:rFonts w:cs="Times New Roman"/>
        </w:rPr>
        <w:t>∠</w:t>
      </w:r>
      <w:r>
        <w:rPr>
          <w:rFonts w:ascii="Times New Roman" w:cs="Times New Roman"/>
          <w:i/>
        </w:rPr>
        <w:t>ABC</w:t>
      </w:r>
      <w:r>
        <w:rPr>
          <w:rFonts w:ascii="Times New Roman" w:cs="Times New Roman"/>
        </w:rPr>
        <w:t>&lt;</w:t>
      </w:r>
      <w:r>
        <w:rPr>
          <w:rFonts w:cs="Times New Roman"/>
        </w:rPr>
        <w:t>∠</w:t>
      </w:r>
      <w:r>
        <w:rPr>
          <w:rFonts w:ascii="Times New Roman" w:cs="Times New Roman"/>
          <w:i/>
        </w:rPr>
        <w:t>ACB</w:t>
      </w:r>
      <w:r>
        <w:rPr>
          <w:rFonts w:ascii="Times New Roman" w:cs="Times New Roman"/>
        </w:rPr>
        <w:t>，质量相同的物块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分别从斜面顶端沿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AC</w:t>
      </w:r>
      <w:r>
        <w:rPr>
          <w:rFonts w:ascii="Times New Roman" w:cs="Times New Roman"/>
        </w:rPr>
        <w:t>由静止自由滑下．在两物块到达斜面底端的过程中，下列说法正确的是(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drawing>
          <wp:anchor distT="0" distB="0" distL="90805" distR="90805" simplePos="0" relativeHeight="251659264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112395</wp:posOffset>
            </wp:positionV>
            <wp:extent cx="1076325" cy="542925"/>
            <wp:effectExtent l="0" t="0" r="15" b="9"/>
            <wp:wrapSquare wrapText="bothSides"/>
            <wp:docPr id="7" name="_x0000_s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s11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3" cy="5429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/>
        </w:rPr>
        <w:t>A．两物块所受重力冲量相同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B．两物块的动量改变量相同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C．两物块的动能改变量相同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D．两物块到达斜面底端时重力的瞬时功率相同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drawing>
          <wp:anchor distT="0" distB="0" distL="90805" distR="90805" simplePos="0" relativeHeight="251659264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454025</wp:posOffset>
            </wp:positionV>
            <wp:extent cx="1066800" cy="762000"/>
            <wp:effectExtent l="0" t="0" r="17" b="12"/>
            <wp:wrapSquare wrapText="bothSides"/>
            <wp:docPr id="10" name="_x0000_s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s11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13" name="_x0000_i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i1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例2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15" name="_x0000_i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i10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一质量为2 kg的物体受到水平拉力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的作用，在粗糙的水平面上从静止开始做直线运动，动摩擦因数为0.2，水平拉力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随时间的变化关系如图所示，重力加速度取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＝10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，最大静摩擦力等于滑动摩擦力，则下列说法正确的是(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A．在0～8 s内拉力的冲量大小为24 N·s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B．在0～8 s内物体动量的变化量为20 kg·m/s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C．在0～8 s内合力所做的功为36 J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D．当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</w:rPr>
        <w:t>＝8 s时物体的速度大小为16 m/s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  <w:r>
        <w:t>考点二　动量定理的理解和应用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17" name="_x0000_i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i1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例3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19" name="_x0000_i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行驶中的汽车如果发生剧烈碰撞，车内的安全气囊会被弹出并瞬间充满气体．若碰撞后汽车的速度在很短时间内减小为零，关于安全气囊在此过程中的作用，下列说法正确的是(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A．增加了司机单位面积的受力大小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B．减少了碰撞前后司机动量的变化量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C．将司机的动能全部转换成汽车的动能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D．延长了司机的受力时间并增大了司机的受力面积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21" name="_x0000_i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_i10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例4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23" name="_x0000_i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00_i10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一质点做曲线运动，在前一段时间内速度大小由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增大到2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，在随后的一段时间内速度大小由2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增大到5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.前后两段时间内，合外力对质点做功分别为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，合外力的冲量大小分别为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.下列关系式一定成立的是(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＝3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2</w:t>
      </w:r>
      <w:r>
        <w:rPr>
          <w:rFonts w:cs="Times New Roman"/>
        </w:rPr>
        <w:t>≤</w:t>
      </w:r>
      <w:r>
        <w:rPr>
          <w:rFonts w:ascii="Times New Roman" w:cs="Times New Roman"/>
        </w:rPr>
        <w:t>3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B．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＝3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2</w:t>
      </w:r>
      <w:r>
        <w:rPr>
          <w:rFonts w:cs="Times New Roman"/>
        </w:rPr>
        <w:t>≥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1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  <w:vertAlign w:val="subscript"/>
        </w:rPr>
      </w:pPr>
      <w:r>
        <w:rPr>
          <w:rFonts w:ascii="Times New Roman" w:cs="Times New Roman"/>
        </w:rPr>
        <w:t>C．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＝7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2</w:t>
      </w:r>
      <w:r>
        <w:rPr>
          <w:rFonts w:cs="Times New Roman"/>
        </w:rPr>
        <w:t>≤</w:t>
      </w:r>
      <w:r>
        <w:rPr>
          <w:rFonts w:ascii="Times New Roman" w:cs="Times New Roman"/>
        </w:rPr>
        <w:t>3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D．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＝7</w:t>
      </w:r>
      <w:r>
        <w:rPr>
          <w:rFonts w:ascii="Times New Roman" w:cs="Times New Roman"/>
          <w:i/>
        </w:rPr>
        <w:t>W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2</w:t>
      </w:r>
      <w:r>
        <w:rPr>
          <w:rFonts w:cs="Times New Roman"/>
        </w:rPr>
        <w:t>≥</w:t>
      </w:r>
      <w:r>
        <w:rPr>
          <w:rFonts w:ascii="Times New Roman" w:cs="Times New Roman"/>
          <w:i/>
        </w:rPr>
        <w:t>I</w:t>
      </w:r>
      <w:r>
        <w:rPr>
          <w:rFonts w:ascii="Times New Roman" w:cs="Times New Roman"/>
          <w:vertAlign w:val="subscript"/>
        </w:rPr>
        <w:t>1</w:t>
      </w: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  <w:r>
        <w:t>考点三　应用动量定理处理</w:t>
      </w:r>
      <w:r>
        <w:rPr>
          <w:rFonts w:ascii="宋体"/>
        </w:rPr>
        <w:t>“</w:t>
      </w:r>
      <w:r>
        <w:t>流体模型</w:t>
      </w:r>
      <w:r>
        <w:rPr>
          <w:rFonts w:ascii="宋体"/>
        </w:rPr>
        <w:t>”</w:t>
      </w:r>
      <w:r>
        <w:t>的冲击力问题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eastAsia="黑体"/>
        </w:rPr>
        <w:drawing>
          <wp:inline distT="0" distB="0" distL="90805" distR="90805">
            <wp:extent cx="38100" cy="104775"/>
            <wp:effectExtent l="0" t="0" r="1" b="2"/>
            <wp:docPr id="25" name="_x0000_i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i1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例5</w:t>
      </w:r>
      <w:r>
        <w:rPr>
          <w:rFonts w:ascii="Times New Roman" w:eastAsia="黑体" w:cs="Times New Roman"/>
        </w:rPr>
        <w:drawing>
          <wp:inline distT="0" distB="0" distL="90805" distR="90805">
            <wp:extent cx="28575" cy="104775"/>
            <wp:effectExtent l="0" t="0" r="1" b="2"/>
            <wp:docPr id="27" name="_x0000_i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00_i1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玩具水枪是儿童们夏天喜爱的玩具之一，但水枪伤眼的事件也时有发生，因此，限制儿童水枪的威力就成了生产厂家必须关注的问题．现有一水枪样品，如图所示，枪口直径为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</w:rPr>
        <w:t>，水的密度为</w:t>
      </w:r>
      <w:r>
        <w:rPr>
          <w:rFonts w:ascii="Times New Roman" w:cs="Times New Roman"/>
          <w:i/>
        </w:rPr>
        <w:t>ρ</w:t>
      </w:r>
      <w:r>
        <w:rPr>
          <w:rFonts w:ascii="Times New Roman" w:cs="Times New Roman"/>
        </w:rPr>
        <w:t>，水平出射速度为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，垂直击中竖直目标后以大小为0.2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的速度反向溅回，则水柱水平击中目标的平均冲击力大小为(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A．1.2π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  <w:i/>
        </w:rPr>
        <w:t>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B．0.3π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  <w:i/>
        </w:rPr>
        <w:t>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  <w:vertAlign w:val="superscript"/>
        </w:rPr>
        <w:t>2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C．1.2π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  <w:i/>
        </w:rPr>
        <w:t>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D．0.3π</w:t>
      </w:r>
      <w:r>
        <w:rPr>
          <w:rFonts w:ascii="Times New Roman" w:cs="Times New Roman"/>
          <w:i/>
        </w:rPr>
        <w:t>d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  <w:i/>
        </w:rPr>
        <w:t>ρ</w:t>
      </w:r>
      <w:r>
        <w:rPr>
          <w:rFonts w:ascii="Book Antiqua" w:hAnsi="Book Antiqua" w:cs="Times New Roman"/>
          <w:i/>
        </w:rPr>
        <w:t>v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5"/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widowControl/>
        <w:spacing w:line="278" w:lineRule="atLeast"/>
        <w:jc w:val="lef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【随堂导练】</w:t>
      </w:r>
    </w:p>
    <w:p>
      <w:pPr>
        <w:widowControl/>
        <w:spacing w:line="278" w:lineRule="atLeast"/>
        <w:jc w:val="left"/>
        <w:rPr>
          <w:rFonts w:ascii="Times New Roman" w:hAnsi="Times New Roman"/>
        </w:rPr>
      </w:pPr>
      <w:r>
        <w:rPr>
          <w:rFonts w:ascii="Times New Roman" w:hAnsi="Times New Roman" w:eastAsia="黑体"/>
        </w:rPr>
        <w:t>1、</w:t>
      </w:r>
      <w:r>
        <w:rPr>
          <w:rFonts w:ascii="Times New Roman" w:hAnsi="Times New Roman"/>
        </w:rPr>
        <w:t>如图所示，质量为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的滑块沿倾角为</w:t>
      </w:r>
      <w:r>
        <w:rPr>
          <w:rFonts w:ascii="Times New Roman" w:hAnsi="Times New Roman"/>
          <w:i/>
        </w:rPr>
        <w:t>θ</w:t>
      </w:r>
      <w:r>
        <w:rPr>
          <w:rFonts w:ascii="Times New Roman" w:hAnsi="Times New Roman"/>
        </w:rPr>
        <w:t>的固定斜面向上滑动，经过时间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，速度为零并又开始下滑，经过时间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回到斜面底端，滑块在运动过程中受到的摩擦力大小始终为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f</w:t>
      </w:r>
      <w:r>
        <w:rPr>
          <w:rFonts w:ascii="Times New Roman" w:hAnsi="Times New Roman"/>
        </w:rPr>
        <w:t>，重力加速度为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.在整个运动过程中，下列说法正确的是(　　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A．重力对滑块的总冲量为</w:t>
      </w:r>
      <w:r>
        <w:rPr>
          <w:rFonts w:ascii="Times New Roman" w:cs="Times New Roman"/>
          <w:i/>
        </w:rPr>
        <w:t>mg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 xml:space="preserve">)sin </w:t>
      </w:r>
      <w:r>
        <w:rPr>
          <w:rFonts w:ascii="Times New Roman" w:cs="Times New Roman"/>
          <w:i/>
        </w:rPr>
        <w:t>θ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B．支持力对滑块的总冲量为</w:t>
      </w:r>
      <w:r>
        <w:rPr>
          <w:rFonts w:ascii="Times New Roman" w:cs="Times New Roman"/>
          <w:i/>
        </w:rPr>
        <w:t>mg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 xml:space="preserve">)cos </w:t>
      </w:r>
      <w:r>
        <w:rPr>
          <w:rFonts w:ascii="Times New Roman" w:cs="Times New Roman"/>
          <w:i/>
        </w:rPr>
        <w:t>θ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C．合外力的冲量为0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D．摩擦力的总冲量为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  <w:vertAlign w:val="subscript"/>
        </w:rPr>
        <w:t>f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1</w:t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  <w:vertAlign w:val="subscript"/>
        </w:rPr>
        <w:t>2</w:t>
      </w:r>
      <w:r>
        <w:rPr>
          <w:rFonts w:ascii="Times New Roman" w:cs="Times New Roman"/>
        </w:rPr>
        <w:t>)</w:t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eastAsia="黑体" w:cs="Times New Roman"/>
        </w:rPr>
      </w:pPr>
    </w:p>
    <w:p>
      <w:pPr>
        <w:pStyle w:val="6"/>
        <w:numPr>
          <w:ilvl w:val="0"/>
          <w:numId w:val="1"/>
        </w:numPr>
        <w:tabs>
          <w:tab w:val="left" w:pos="3402"/>
        </w:tabs>
        <w:adjustRightInd w:val="0"/>
        <w:snapToGrid w:val="0"/>
        <w:ind w:left="0" w:leftChars="0" w:firstLine="0" w:firstLineChars="0"/>
        <w:rPr>
          <w:rFonts w:hint="eastAsia" w:ascii="Times New Roman" w:cs="Times New Roman"/>
          <w:lang w:val="en-US" w:eastAsia="zh-CN"/>
        </w:rPr>
      </w:pPr>
      <w:r>
        <w:rPr>
          <w:rFonts w:ascii="Times New Roman" w:cs="Times New Roman"/>
        </w:rPr>
        <w:t>高空作业须系安全带．如果质量为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的高空作业人员不慎跌落，从开始跌落到安全带对人刚产生作用力前，人下落的距离为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(可视为自由落体运动)，此后经历时间</w:t>
      </w:r>
      <w:r>
        <w:rPr>
          <w:rFonts w:ascii="Times New Roman" w:cs="Times New Roman"/>
          <w:i/>
        </w:rPr>
        <w:t>t</w:t>
      </w:r>
      <w:r>
        <w:rPr>
          <w:rFonts w:ascii="Times New Roman" w:cs="Times New Roman"/>
        </w:rPr>
        <w:t>，安全带达到最大伸长量，若在此过程中该作用力始终竖直向上．重力加速度为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，忽略空气阻力，则该段时间安全带对人的平均作用力大小为</w:t>
      </w:r>
      <w:r>
        <w:rPr>
          <w:rFonts w:hint="eastAsia" w:ascii="Times New Roman" w:cs="Times New Roman"/>
          <w:lang w:val="en-US" w:eastAsia="zh-CN"/>
        </w:rPr>
        <w:t>多少？</w:t>
      </w:r>
    </w:p>
    <w:p>
      <w:pPr>
        <w:pStyle w:val="5"/>
        <w:widowControl w:val="0"/>
        <w:numPr>
          <w:numId w:val="0"/>
        </w:numPr>
        <w:jc w:val="both"/>
      </w:pPr>
    </w:p>
    <w:p/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6"/>
        <w:numPr>
          <w:numId w:val="0"/>
        </w:numPr>
        <w:tabs>
          <w:tab w:val="left" w:pos="3402"/>
        </w:tabs>
        <w:adjustRightInd w:val="0"/>
        <w:snapToGrid w:val="0"/>
        <w:ind w:leftChars="0"/>
        <w:rPr>
          <w:rFonts w:hint="eastAsia" w:asci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3、</w:t>
      </w:r>
      <w:r>
        <w:rPr>
          <w:rFonts w:ascii="Times New Roman" w:cs="Times New Roman"/>
        </w:rPr>
        <w:t>将质量为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＝1 kg的物块置于水平地面上，已知物块与水平地面间的动摩擦因数为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＝0.5，现在物块上施加一个平行于水平地面的恒力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＝10 N，物体由静止开始运动，作用4 s后撤去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.已知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＝10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，对于物块从静止开始到物块停下这一过程</w:t>
      </w:r>
      <w:r>
        <w:rPr>
          <w:rFonts w:hint="eastAsia" w:ascii="Times New Roman" w:cs="Times New Roman"/>
          <w:lang w:eastAsia="zh-CN"/>
        </w:rPr>
        <w:t>，</w:t>
      </w:r>
      <w:r>
        <w:rPr>
          <w:rFonts w:hint="eastAsia" w:ascii="Times New Roman" w:cs="Times New Roman"/>
          <w:lang w:val="en-US" w:eastAsia="zh-CN"/>
        </w:rPr>
        <w:t>求：</w:t>
      </w:r>
    </w:p>
    <w:p>
      <w:pPr>
        <w:pStyle w:val="6"/>
        <w:tabs>
          <w:tab w:val="left" w:pos="3402"/>
        </w:tabs>
        <w:adjustRightInd w:val="0"/>
        <w:snapToGrid w:val="0"/>
        <w:rPr>
          <w:rFonts w:hint="eastAsia" w:ascii="Times New Roman" w:cs="Times New Roman"/>
        </w:rPr>
      </w:pPr>
      <w:r>
        <w:rPr>
          <w:rFonts w:hint="eastAsia" w:ascii="Times New Roman" w:cs="Times New Roman"/>
          <w:lang w:eastAsia="zh-CN"/>
        </w:rPr>
        <w:t>（</w:t>
      </w:r>
      <w:r>
        <w:rPr>
          <w:rFonts w:hint="eastAsia" w:ascii="Times New Roman" w:cs="Times New Roman"/>
          <w:lang w:val="en-US" w:eastAsia="zh-CN"/>
        </w:rPr>
        <w:t>1）</w:t>
      </w:r>
      <w:r>
        <w:rPr>
          <w:rFonts w:ascii="Times New Roman" w:cs="Times New Roman"/>
        </w:rPr>
        <w:t>物块运动的时间</w:t>
      </w:r>
      <w:r>
        <w:rPr>
          <w:rFonts w:hint="eastAsia" w:ascii="Times New Roman" w:cs="Times New Roman"/>
          <w:lang w:eastAsia="zh-CN"/>
        </w:rPr>
        <w:t>；</w:t>
      </w:r>
      <w:r>
        <w:rPr>
          <w:rFonts w:hint="eastAsia" w:ascii="Times New Roman" w:cs="Times New Roman"/>
        </w:rPr>
        <w:t xml:space="preserve">           </w:t>
      </w:r>
    </w:p>
    <w:p>
      <w:pPr>
        <w:pStyle w:val="6"/>
        <w:tabs>
          <w:tab w:val="left" w:pos="3402"/>
        </w:tabs>
        <w:adjustRightInd w:val="0"/>
        <w:snapToGrid w:val="0"/>
        <w:rPr>
          <w:rFonts w:hint="eastAsia" w:ascii="Times New Roman" w:eastAsia="宋体" w:cs="Times New Roman"/>
          <w:lang w:eastAsia="zh-CN"/>
        </w:rPr>
      </w:pPr>
      <w:r>
        <w:rPr>
          <w:rFonts w:hint="eastAsia" w:ascii="Times New Roman" w:cs="Times New Roman"/>
          <w:lang w:eastAsia="zh-CN"/>
        </w:rPr>
        <w:t>（</w:t>
      </w:r>
      <w:r>
        <w:rPr>
          <w:rFonts w:hint="eastAsia" w:ascii="Times New Roman" w:cs="Times New Roman"/>
          <w:lang w:val="en-US" w:eastAsia="zh-CN"/>
        </w:rPr>
        <w:t>2</w:t>
      </w:r>
      <w:r>
        <w:rPr>
          <w:rFonts w:hint="eastAsia" w:ascii="Times New Roman" w:cs="Times New Roman"/>
          <w:lang w:eastAsia="zh-CN"/>
        </w:rPr>
        <w:t>）</w:t>
      </w:r>
      <w:r>
        <w:rPr>
          <w:rFonts w:ascii="Times New Roman" w:cs="Times New Roman"/>
        </w:rPr>
        <w:t>物块的位移</w:t>
      </w:r>
      <w:r>
        <w:rPr>
          <w:rFonts w:hint="eastAsia" w:ascii="Times New Roman" w:cs="Times New Roman"/>
          <w:lang w:eastAsia="zh-CN"/>
        </w:rPr>
        <w:t>。</w:t>
      </w:r>
    </w:p>
    <w:p>
      <w:pPr>
        <w:pStyle w:val="5"/>
      </w:pPr>
    </w:p>
    <w:p/>
    <w:p/>
    <w:p/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  <w:r>
        <w:rPr>
          <w:rFonts w:ascii="Times New Roman" w:eastAsia="黑体"/>
        </w:rPr>
        <w:t>4、</w:t>
      </w:r>
      <w:r>
        <w:rPr>
          <w:rFonts w:ascii="Times New Roman" w:cs="Times New Roman"/>
        </w:rPr>
        <w:t>宇宙飞船在飞行过程中有很多技术问题需要解决，其中之一就是当飞船进入宇宙微粒尘区时，如何保持速度不变的问题．假设一宇宙飞船以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＝2.0</w:t>
      </w:r>
      <w:r>
        <w:rPr>
          <w:rFonts w:cs="Times New Roman"/>
        </w:rPr>
        <w:t>×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vertAlign w:val="superscript"/>
        </w:rPr>
        <w:t>3</w:t>
      </w:r>
      <w:r>
        <w:rPr>
          <w:rFonts w:ascii="Times New Roman" w:cs="Times New Roman"/>
        </w:rPr>
        <w:t xml:space="preserve"> m/s的速度进入密度</w:t>
      </w:r>
      <w:r>
        <w:rPr>
          <w:rFonts w:ascii="Times New Roman" w:cs="Times New Roman"/>
          <w:i/>
        </w:rPr>
        <w:t>ρ</w:t>
      </w:r>
      <w:r>
        <w:rPr>
          <w:rFonts w:ascii="Times New Roman" w:cs="Times New Roman"/>
        </w:rPr>
        <w:t>＝2.0</w:t>
      </w:r>
      <w:r>
        <w:rPr>
          <w:rFonts w:cs="Times New Roman"/>
        </w:rPr>
        <w:t>×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vertAlign w:val="superscript"/>
        </w:rPr>
        <w:t>－6</w:t>
      </w:r>
      <w:r>
        <w:rPr>
          <w:rFonts w:ascii="Times New Roman" w:cs="Times New Roman"/>
        </w:rPr>
        <w:t xml:space="preserve"> kg/m</w:t>
      </w:r>
      <w:r>
        <w:rPr>
          <w:rFonts w:ascii="Times New Roman" w:cs="Times New Roman"/>
          <w:vertAlign w:val="superscript"/>
        </w:rPr>
        <w:t>3</w:t>
      </w:r>
      <w:r>
        <w:rPr>
          <w:rFonts w:ascii="Times New Roman" w:cs="Times New Roman"/>
        </w:rPr>
        <w:t>的微粒尘区，飞船垂直于运动方向上的最大横截面积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＝5 m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，且认为微粒与飞船相碰后都附着在飞船上，则飞船要保持速度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</w:rPr>
        <w:t>不变，所需推力多大？</w:t>
      </w:r>
    </w:p>
    <w:p>
      <w:pPr>
        <w:widowControl/>
        <w:spacing w:line="278" w:lineRule="atLeast"/>
        <w:jc w:val="left"/>
        <w:rPr>
          <w:rFonts w:ascii="宋体" w:cs="宋体"/>
          <w:b/>
          <w:bCs/>
          <w:szCs w:val="21"/>
        </w:rPr>
      </w:pP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</w:p>
    <w:p>
      <w:pPr>
        <w:pStyle w:val="5"/>
      </w:pPr>
    </w:p>
    <w:p/>
    <w:p/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【导思总结】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cs="宋体"/>
          <w:b/>
          <w:bCs/>
        </w:rPr>
      </w:pPr>
      <w:r>
        <w:rPr>
          <w:rFonts w:hint="eastAsia" w:cs="宋体"/>
        </w:rPr>
        <w:t xml:space="preserve"> </w:t>
      </w:r>
      <w:r>
        <w:rPr>
          <w:rFonts w:hint="eastAsia" w:ascii="Times New Roman" w:eastAsia="黑体"/>
        </w:rPr>
        <w:t>明确动量、动量的变化量、冲量的概念</w:t>
      </w:r>
    </w:p>
    <w:p>
      <w:pPr>
        <w:pStyle w:val="6"/>
        <w:tabs>
          <w:tab w:val="left" w:pos="3402"/>
        </w:tabs>
        <w:snapToGrid w:val="0"/>
        <w:spacing w:line="360" w:lineRule="auto"/>
        <w:ind w:firstLine="105" w:firstLineChars="50"/>
        <w:rPr>
          <w:rFonts w:cs="宋体"/>
        </w:rPr>
      </w:pPr>
      <w:r>
        <w:rPr>
          <w:rFonts w:hint="eastAsia" w:ascii="Times New Roman" w:eastAsia="黑体"/>
        </w:rPr>
        <w:t>掌握</w:t>
      </w:r>
      <w:r>
        <w:rPr>
          <w:rFonts w:ascii="Times New Roman" w:eastAsia="黑体"/>
        </w:rPr>
        <w:t>应用动量定理解题的基本思路</w:t>
      </w: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ascii="Times New Roman" w:eastAsia="仿宋_GB2312" w:cs="Times New Roman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cs="宋体"/>
          <w:szCs w:val="21"/>
        </w:rPr>
        <w:t>本节课你学到了什么？</w:t>
      </w: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</w:pPr>
      <w:r>
        <w:rPr>
          <w:rFonts w:hint="eastAsia" w:ascii="宋体" w:cs="宋体"/>
          <w:b/>
          <w:bCs/>
          <w:szCs w:val="21"/>
        </w:rPr>
        <w:t>【导练巩固】见附页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3EB75"/>
    <w:multiLevelType w:val="singleLevel"/>
    <w:tmpl w:val="4AD3EB7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</w:docVars>
  <w:rsids>
    <w:rsidRoot w:val="00A60AED"/>
    <w:rsid w:val="00233F10"/>
    <w:rsid w:val="00A60AED"/>
    <w:rsid w:val="00BF03C0"/>
    <w:rsid w:val="0B637A6D"/>
    <w:rsid w:val="204D624D"/>
    <w:rsid w:val="619A69DB"/>
    <w:rsid w:val="660D51A5"/>
    <w:rsid w:val="6B9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next w:val="5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1594</Words>
  <Characters>1854</Characters>
  <Lines>15</Lines>
  <Paragraphs>4</Paragraphs>
  <TotalTime>31</TotalTime>
  <ScaleCrop>false</ScaleCrop>
  <LinksUpToDate>false</LinksUpToDate>
  <CharactersWithSpaces>1978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2023-09-08T00:52:00Z</dcterms:created>
  <dc:creator>Administrator</dc:creator>
  <cp:lastModifiedBy>劲松</cp:lastModifiedBy>
  <dcterms:modified xsi:type="dcterms:W3CDTF">2025-09-12T03:10:20Z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34B9DF95F1DC4E6EB255AC073A14422E</vt:lpwstr>
  </property>
</Properties>
</file>