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江苏省仪征中学202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5</w:t>
      </w:r>
      <w:r>
        <w:rPr>
          <w:rFonts w:hint="eastAsia" w:ascii="黑体" w:hAnsi="宋体" w:eastAsia="黑体"/>
          <w:b/>
          <w:sz w:val="28"/>
          <w:szCs w:val="28"/>
        </w:rPr>
        <w:t>—202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6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一</w:t>
      </w:r>
      <w:r>
        <w:rPr>
          <w:rFonts w:hint="eastAsia" w:ascii="黑体" w:hAnsi="宋体" w:eastAsia="黑体"/>
          <w:b/>
          <w:sz w:val="28"/>
          <w:szCs w:val="28"/>
        </w:rPr>
        <w:t>学期高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宋体" w:eastAsia="黑体"/>
          <w:b/>
          <w:sz w:val="28"/>
          <w:szCs w:val="28"/>
        </w:rPr>
        <w:t>语文学科提升性练习</w:t>
      </w:r>
    </w:p>
    <w:p>
      <w:pPr>
        <w:jc w:val="center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研制人：</w:t>
      </w:r>
      <w:r>
        <w:rPr>
          <w:rFonts w:hint="eastAsia" w:ascii="楷体" w:hAnsi="楷体" w:eastAsia="楷体" w:cs="宋体"/>
          <w:sz w:val="24"/>
          <w:szCs w:val="24"/>
          <w:lang w:val="en-US" w:eastAsia="zh-CN"/>
        </w:rPr>
        <w:t>朱俊琦</w:t>
      </w:r>
      <w:r>
        <w:rPr>
          <w:rFonts w:hint="eastAsia" w:ascii="楷体" w:hAnsi="楷体" w:eastAsia="楷体" w:cs="宋体"/>
          <w:sz w:val="24"/>
          <w:szCs w:val="24"/>
        </w:rPr>
        <w:t xml:space="preserve">    审核人：卞文惠</w:t>
      </w:r>
    </w:p>
    <w:p>
      <w:pPr>
        <w:jc w:val="center"/>
        <w:rPr>
          <w:rFonts w:hint="eastAsia" w:ascii="楷体" w:hAnsi="楷体" w:eastAsia="楷体" w:cs="楷体"/>
          <w:bCs/>
          <w:sz w:val="24"/>
          <w:u w:val="single"/>
        </w:rPr>
      </w:pPr>
      <w:r>
        <w:rPr>
          <w:rFonts w:hint="eastAsia" w:ascii="楷体" w:hAnsi="楷体" w:eastAsia="楷体" w:cs="楷体"/>
          <w:bCs/>
          <w:sz w:val="24"/>
        </w:rPr>
        <w:t>姓名：________学号：________时间：作业时长：</w:t>
      </w:r>
      <w:r>
        <w:rPr>
          <w:rFonts w:hint="eastAsia" w:ascii="楷体" w:hAnsi="楷体" w:eastAsia="楷体" w:cs="楷体"/>
          <w:bCs/>
          <w:sz w:val="24"/>
          <w:u w:val="single"/>
        </w:rPr>
        <w:t xml:space="preserve"> 30分钟 </w:t>
      </w:r>
    </w:p>
    <w:p>
      <w:pPr>
        <w:spacing w:line="360" w:lineRule="auto"/>
        <w:jc w:val="left"/>
        <w:rPr>
          <w:color w:val="000000"/>
        </w:rPr>
      </w:pP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一、文言文阅读</w:t>
      </w:r>
      <w:r>
        <w:rPr>
          <w:rFonts w:ascii="宋体" w:hAnsi="宋体" w:eastAsia="宋体" w:cs="宋体"/>
          <w:b/>
          <w:color w:val="000000"/>
          <w:sz w:val="24"/>
        </w:rPr>
        <w:t>（本题共5 小题,22分）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sz w:val="21"/>
        </w:rPr>
        <w:t>阅读下面的文言文，完成小题。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材料一：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孟尝君寄客于齐王，三年而不见用，故客反谓孟尝君曰：“君之寄臣也，三年而不见用。不知臣之罪也，君之过也？”孟尝君曰：“寡人闻之，缕</w:t>
      </w:r>
      <w:r>
        <w:rPr>
          <w:rFonts w:ascii="楷体" w:hAnsi="楷体" w:eastAsia="楷体" w:cs="楷体"/>
          <w:sz w:val="21"/>
          <w:em w:val="dot"/>
          <w:lang w:eastAsia="zh-CN"/>
        </w:rPr>
        <w:t>因</w:t>
      </w:r>
      <w:r>
        <w:rPr>
          <w:rFonts w:ascii="楷体" w:hAnsi="楷体" w:eastAsia="楷体" w:cs="楷体"/>
          <w:sz w:val="21"/>
        </w:rPr>
        <w:t>针而入，不因针而急；嫁女因媒而成，不因媒而亲。夫子之</w:t>
      </w:r>
      <w:r>
        <w:rPr>
          <w:rFonts w:ascii="楷体" w:hAnsi="楷体" w:eastAsia="楷体" w:cs="楷体"/>
          <w:sz w:val="21"/>
          <w:em w:val="dot"/>
          <w:lang w:eastAsia="zh-CN"/>
        </w:rPr>
        <w:t>材</w:t>
      </w:r>
      <w:r>
        <w:rPr>
          <w:rFonts w:ascii="楷体" w:hAnsi="楷体" w:eastAsia="楷体" w:cs="楷体"/>
          <w:sz w:val="21"/>
        </w:rPr>
        <w:t>必薄矣，尚何怨乎寡人哉？”客曰：“不然！臣闻周氏之喾、韩氏之卢，天下疾狗也。见兔而指属，则无失兔矣；望见而放狗也，则累世不能得兔矣。狗非不能，属之者罪也。”孟尝君曰：“不然！昔华舟、杞梁战而死，其妻悲之，向城而哭，隅为之崩，城为之阤。</w:t>
      </w:r>
      <w:r>
        <w:rPr>
          <w:rFonts w:ascii="楷体" w:hAnsi="楷体" w:eastAsia="楷体" w:cs="楷体"/>
          <w:sz w:val="21"/>
          <w:u w:val="wave"/>
        </w:rPr>
        <w:t>君子诚能刑于内则物应于外矣夫土壤且可为忠况有食谷之君乎？</w:t>
      </w:r>
      <w:r>
        <w:rPr>
          <w:rFonts w:ascii="楷体" w:hAnsi="楷体" w:eastAsia="楷体" w:cs="楷体"/>
          <w:sz w:val="21"/>
        </w:rPr>
        <w:t>”客曰：“不然！臣见鹪鹩巢于苇苕，著之以发，建之，女工不能为也，可谓完坚矣。</w:t>
      </w:r>
      <w:r>
        <w:rPr>
          <w:rFonts w:ascii="楷体" w:hAnsi="楷体" w:eastAsia="楷体" w:cs="楷体"/>
          <w:sz w:val="21"/>
          <w:u w:val="single"/>
        </w:rPr>
        <w:t>大风至，则苕折卵破子死者，何也？其所托者使然也。</w:t>
      </w:r>
      <w:r>
        <w:rPr>
          <w:rFonts w:ascii="楷体" w:hAnsi="楷体" w:eastAsia="楷体" w:cs="楷体"/>
          <w:sz w:val="21"/>
        </w:rPr>
        <w:t>且夫狐者，人之所攻也；鼠者，人之所熏也。臣未尝见稷狐见攻、社鼠见熏也，何则？所托者然也。”于是孟尝君复属之齐王，齐王使为相。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庄周贫者，往</w:t>
      </w:r>
      <w:r>
        <w:rPr>
          <w:rFonts w:ascii="楷体" w:hAnsi="楷体" w:eastAsia="楷体" w:cs="楷体"/>
          <w:sz w:val="21"/>
          <w:em w:val="dot"/>
          <w:lang w:eastAsia="zh-CN"/>
        </w:rPr>
        <w:t>贷</w:t>
      </w:r>
      <w:r>
        <w:rPr>
          <w:rFonts w:ascii="楷体" w:hAnsi="楷体" w:eastAsia="楷体" w:cs="楷体"/>
          <w:sz w:val="21"/>
        </w:rPr>
        <w:t>粟于魏文侯。文侯曰：“待吾邑粟之来而献之。”周曰：“乃今者周之来，</w:t>
      </w:r>
      <w:r>
        <w:rPr>
          <w:rFonts w:ascii="楷体" w:hAnsi="楷体" w:eastAsia="楷体" w:cs="楷体"/>
          <w:sz w:val="21"/>
          <w:u w:val="single"/>
        </w:rPr>
        <w:t>见道傍牛蹄中有鲋鱼焉，大息谓周曰：‘我尚可活也！</w:t>
      </w:r>
      <w:r>
        <w:rPr>
          <w:rFonts w:ascii="楷体" w:hAnsi="楷体" w:eastAsia="楷体" w:cs="楷体"/>
          <w:sz w:val="21"/>
        </w:rPr>
        <w:t>’周曰：‘须我为汝南见楚王，决江、淮以溉汝。’鲋鱼曰：‘今吾命在盆瓮之中耳，乃为我见楚王，决江、淮以溉我，汝则</w:t>
      </w:r>
      <w:r>
        <w:rPr>
          <w:rFonts w:ascii="楷体" w:hAnsi="楷体" w:eastAsia="楷体" w:cs="楷体"/>
          <w:sz w:val="21"/>
          <w:em w:val="dot"/>
          <w:lang w:eastAsia="zh-CN"/>
        </w:rPr>
        <w:t>求</w:t>
      </w:r>
      <w:r>
        <w:rPr>
          <w:rFonts w:ascii="楷体" w:hAnsi="楷体" w:eastAsia="楷体" w:cs="楷体"/>
          <w:sz w:val="21"/>
        </w:rPr>
        <w:t>我枯鱼之肆矣。’今周以贫故来贷粟，而曰‘须我邑粟来也而赐臣’，即来，亦求臣佣肆矣。”文侯于是乃发粟百钟，送之庄周之室。</w:t>
      </w:r>
    </w:p>
    <w:p>
      <w:pPr>
        <w:shd w:val="clear" w:color="auto" w:fill="auto"/>
        <w:spacing w:line="240" w:lineRule="auto"/>
        <w:ind w:firstLine="560"/>
        <w:jc w:val="righ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（节选自《说苑·善说》）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材料二：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孙卿曰：“夫谈说之术，齐庄以立之，端诚以处之，坚强以持之，譬称以谕之，分别以明之，欢欣愤满以送之；宝之，珍之，贵之，神之。如是，则说常无不行矣。”夫是之谓能贵其所贵。</w:t>
      </w:r>
    </w:p>
    <w:p>
      <w:pPr>
        <w:shd w:val="clear" w:color="auto" w:fill="auto"/>
        <w:spacing w:line="240" w:lineRule="auto"/>
        <w:ind w:firstLine="560"/>
        <w:jc w:val="righ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（节选自《说苑·善说》）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sz w:val="21"/>
        </w:rPr>
        <w:t>1．(3分)材料一中画波浪线的部分有三处需要断句，请用铅笔将答题卡上相应位置的答案标号涂黑。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sz w:val="21"/>
        </w:rPr>
        <w:t>君子A诚能因刑于内B则物C应于外矣D夫土壤且可为忠E况有食谷之君乎？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．(3分)下列对材料中加点的词语及相关内容的解说，不正确的一项是（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A．因，意为借助、依靠，与《过秦论》“因河为池”中的“因”意思相同。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B．材，才干，与李白《将进酒》“天生我材必有用”中的“材”意思相同。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C．贷，文中指借入，与成语“责无旁贷”“严惩不贷”中的“贷”意思相同。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D．求，寻找，与《齐桓晋文之事》“犹缘木而求鱼也”中的“求”意思相同。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．(3分)下列对材料有关内容的概述，不正确的一项是（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A．门客没有受到齐王重用，把责任归结于孟尝君。孟尝君指出一味地埋怨别人没有用，须从自身找原因。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B．经过几番辩论，门客凭借“善说”的能力占据了上风，得到孟尝君的又一次推荐，并被齐王任命为相。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C．对魏文侯的许诺，庄子阐发了“远水解不了近渴”的道理，其“谈说”的技巧与《五石之瓠》颇为相似。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D．孙卿认为，“谈说”过程有多方面的讲究，其最终目的是要使听者认为谈说者本人品德可贵，值得信任。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．(4分)把材料中画横线的句子翻译成现代汉语。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sz w:val="21"/>
        </w:rPr>
        <w:t>（1）大风至，则苕折卵破子死者，何也？其所托者使然也。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numPr>
          <w:ilvl w:val="0"/>
          <w:numId w:val="1"/>
        </w:num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sz w:val="21"/>
        </w:rPr>
        <w:t>见道傍牛蹄中有鲋鱼焉，大息谓周曰：“我尚可活也！”</w:t>
      </w:r>
    </w:p>
    <w:p>
      <w:pPr>
        <w:widowControl w:val="0"/>
        <w:numPr>
          <w:numId w:val="0"/>
        </w:num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widowControl w:val="0"/>
        <w:numPr>
          <w:numId w:val="0"/>
        </w:num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widowControl w:val="0"/>
        <w:numPr>
          <w:numId w:val="0"/>
        </w:num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．(6分)材料二中，孙卿主张的谈说之术包括“坚强以持之，譬称以谕之”，简要概括材料一中的门客是怎样体现这两点的。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spacing w:line="24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sz w:val="21"/>
          <w:lang w:val="en-US" w:eastAsia="zh-CN"/>
        </w:rPr>
        <w:t>二、</w:t>
      </w:r>
      <w:r>
        <w:rPr>
          <w:rFonts w:ascii="宋体" w:hAnsi="宋体" w:eastAsia="宋体" w:cs="宋体"/>
          <w:b/>
          <w:i w:val="0"/>
          <w:color w:val="000000"/>
          <w:sz w:val="21"/>
        </w:rPr>
        <w:t>古代诗歌阅读（共9分）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sz w:val="21"/>
        </w:rPr>
        <w:t>（本题9分）阅读下面这首宋词，完成下面小题。</w:t>
      </w:r>
    </w:p>
    <w:p>
      <w:pPr>
        <w:shd w:val="clear" w:color="auto" w:fill="auto"/>
        <w:spacing w:line="240" w:lineRule="auto"/>
        <w:jc w:val="center"/>
        <w:textAlignment w:val="center"/>
        <w:rPr>
          <w:sz w:val="21"/>
        </w:rPr>
      </w:pPr>
      <w:r>
        <w:rPr>
          <w:rFonts w:ascii="楷体" w:hAnsi="楷体" w:eastAsia="楷体" w:cs="楷体"/>
          <w:b/>
          <w:sz w:val="21"/>
        </w:rPr>
        <w:t>临　江　仙</w:t>
      </w:r>
    </w:p>
    <w:p>
      <w:pPr>
        <w:shd w:val="clear" w:color="auto" w:fill="auto"/>
        <w:spacing w:line="240" w:lineRule="auto"/>
        <w:jc w:val="center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陈与义</w:t>
      </w:r>
      <w:r>
        <w:rPr>
          <w:rFonts w:ascii="Cambria Math" w:hAnsi="Cambria Math" w:eastAsia="Cambria Math" w:cs="Cambria Math"/>
          <w:sz w:val="21"/>
          <w:vertAlign w:val="superscript"/>
        </w:rPr>
        <w:t>①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高咏楚词酬午日</w:t>
      </w:r>
      <w:r>
        <w:rPr>
          <w:rFonts w:ascii="Cambria Math" w:hAnsi="Cambria Math" w:eastAsia="Cambria Math" w:cs="Cambria Math"/>
          <w:sz w:val="21"/>
          <w:vertAlign w:val="superscript"/>
        </w:rPr>
        <w:t>②</w:t>
      </w:r>
      <w:r>
        <w:rPr>
          <w:rFonts w:ascii="楷体" w:hAnsi="楷体" w:eastAsia="楷体" w:cs="楷体"/>
          <w:sz w:val="21"/>
        </w:rPr>
        <w:t>，天涯节序匆匆。榴花不似舞裙红。无人知此意，歌罢满帘风。万事一身伤老矣，戎葵</w:t>
      </w:r>
      <w:r>
        <w:rPr>
          <w:rFonts w:ascii="Cambria Math" w:hAnsi="Cambria Math" w:eastAsia="Cambria Math" w:cs="Cambria Math"/>
          <w:sz w:val="21"/>
          <w:vertAlign w:val="superscript"/>
        </w:rPr>
        <w:t>③</w:t>
      </w:r>
      <w:r>
        <w:rPr>
          <w:rFonts w:ascii="楷体" w:hAnsi="楷体" w:eastAsia="楷体" w:cs="楷体"/>
          <w:sz w:val="21"/>
        </w:rPr>
        <w:t>凝笑墙东。酒杯深浅去年同。试浇桥下水，今夕到湘中。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【注】①陈与义：北宋末南宋初的爱国词人。本词是作者在建炎三年避金兵流寓湖南、湖北一带，逢端午感怀而作。②午日：端午节。③戎葵：即蜀葵，夏日开花，有向阳特性。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．(3分)下列对这首词的理解和赏析，不正确的一项是（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A．开篇两句写词人高咏《楚辞》度过端午，表达了对屈原的怀念，抒发了对时光流逝的感慨。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B．“榴花”句是对旧日的追怀，词人将“榴花”与“舞裙”作比较，回忆了自己过去春风得意、声名籍甚时的情景。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C．“无人”两句情景交融，写出了词人无人了解，没有知音的悲慨。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D．“试浇桥下水，今夕到湘中”两句和苏轼《念奴娇·赤壁怀古》中的“一尊还酹江月”在行为举止和表达情感上相同。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7</w:t>
      </w:r>
      <w:r>
        <w:rPr>
          <w:sz w:val="21"/>
        </w:rPr>
        <w:t>．(6分)本词下片“万事一身伤老矣”一句，与辛弃疾《永遇乐·京口北固亭怀古》中的“凭谁问：廉颇老矣，尚能饭否”在情感表达上有什么不同？请简要分析。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</w:p>
    <w:p>
      <w:pPr>
        <w:spacing w:line="24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四、语言文字运用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一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  <w:r>
        <w:rPr>
          <w:rFonts w:ascii="宋体" w:hAnsi="宋体" w:eastAsia="宋体" w:cs="宋体"/>
          <w:b/>
          <w:i w:val="0"/>
          <w:color w:val="000000"/>
          <w:sz w:val="21"/>
        </w:rPr>
        <w:t>（共11分）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sz w:val="21"/>
        </w:rPr>
        <w:t>（本题11分）阅读下面的文字，完成下面小题。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同样的温度，为何湿热比干热难受得多？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不论湿热还是干热，其实都是由温度和湿度的不同组合而成。在</w:t>
      </w:r>
      <w:r>
        <w:rPr>
          <w:sz w:val="21"/>
        </w:rPr>
        <w:t>35</w:t>
      </w:r>
      <w:r>
        <w:rPr>
          <w:rFonts w:ascii="楷体" w:hAnsi="楷体" w:eastAsia="楷体" w:cs="楷体"/>
          <w:sz w:val="21"/>
        </w:rPr>
        <w:t>℃及以上的高温天气中，湿热是高温伴随着高湿，空气相对湿度在</w:t>
      </w:r>
      <w:r>
        <w:rPr>
          <w:sz w:val="21"/>
        </w:rPr>
        <w:t>60</w:t>
      </w:r>
      <w:r>
        <w:rPr>
          <w:rFonts w:ascii="楷体" w:hAnsi="楷体" w:eastAsia="楷体" w:cs="楷体"/>
          <w:sz w:val="21"/>
        </w:rPr>
        <w:t>%以上；</w:t>
      </w:r>
      <w:r>
        <w:rPr>
          <w:sz w:val="21"/>
          <w:u w:val="single"/>
        </w:rPr>
        <w:t xml:space="preserve"> a </w:t>
      </w:r>
      <w:r>
        <w:rPr>
          <w:rFonts w:ascii="楷体" w:hAnsi="楷体" w:eastAsia="楷体" w:cs="楷体"/>
          <w:sz w:val="21"/>
        </w:rPr>
        <w:t>，空气相对湿度在</w:t>
      </w:r>
      <w:r>
        <w:rPr>
          <w:sz w:val="21"/>
        </w:rPr>
        <w:t>50</w:t>
      </w:r>
      <w:r>
        <w:rPr>
          <w:rFonts w:ascii="楷体" w:hAnsi="楷体" w:eastAsia="楷体" w:cs="楷体"/>
          <w:sz w:val="21"/>
        </w:rPr>
        <w:t>%以下。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但同为</w:t>
      </w:r>
      <w:r>
        <w:rPr>
          <w:sz w:val="21"/>
        </w:rPr>
        <w:t>35</w:t>
      </w:r>
      <w:r>
        <w:rPr>
          <w:rFonts w:ascii="楷体" w:hAnsi="楷体" w:eastAsia="楷体" w:cs="楷体"/>
          <w:sz w:val="21"/>
        </w:rPr>
        <w:t>℃的高温，为何湿热让人感觉更热呢？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众所周知，人体主要是通过出汗的方式进行体温调节。干热环境下，空气相对干燥，人体排出的汗能快速蒸发带走体表热量，从而帮助人体维持正常的体温。相比之下，湿热天气就显得有些缠人了。相同温度下倘若湿度增大，高湿和高温双重夹击下的空气，仿佛被一层厚重的水汽包裹，使得人体汗液蒸发速度大大减慢，体感温度就会明显升高。此时人体新陈代谢所产生的热量几乎全被堵死了。大量被闷在体内的热量散不出去，必然会给心脏、肺部以及血管增加负担，进而让人产生一种闷热感。也难怪有网友戏称，待在没有空调的室内是</w:t>
      </w:r>
      <w:r>
        <w:rPr>
          <w:sz w:val="21"/>
          <w:u w:val="wave"/>
        </w:rPr>
        <w:t>“</w:t>
      </w:r>
      <w:r>
        <w:rPr>
          <w:rFonts w:ascii="楷体" w:hAnsi="楷体" w:eastAsia="楷体" w:cs="楷体"/>
          <w:sz w:val="21"/>
          <w:u w:val="wave"/>
        </w:rPr>
        <w:t>清蒸</w:t>
      </w:r>
      <w:r>
        <w:rPr>
          <w:sz w:val="21"/>
          <w:u w:val="wave"/>
        </w:rPr>
        <w:t>”</w:t>
      </w:r>
      <w:r>
        <w:rPr>
          <w:rFonts w:ascii="楷体" w:hAnsi="楷体" w:eastAsia="楷体" w:cs="楷体"/>
          <w:sz w:val="21"/>
          <w:u w:val="wave"/>
        </w:rPr>
        <w:t>，出门就是</w:t>
      </w:r>
      <w:r>
        <w:rPr>
          <w:sz w:val="21"/>
          <w:u w:val="wave"/>
        </w:rPr>
        <w:t>“</w:t>
      </w:r>
      <w:r>
        <w:rPr>
          <w:rFonts w:ascii="楷体" w:hAnsi="楷体" w:eastAsia="楷体" w:cs="楷体"/>
          <w:sz w:val="21"/>
          <w:u w:val="wave"/>
        </w:rPr>
        <w:t>铁板烧</w:t>
      </w:r>
      <w:r>
        <w:rPr>
          <w:sz w:val="21"/>
          <w:u w:val="wave"/>
        </w:rPr>
        <w:t>”</w:t>
      </w:r>
      <w:r>
        <w:rPr>
          <w:rFonts w:ascii="楷体" w:hAnsi="楷体" w:eastAsia="楷体" w:cs="楷体"/>
          <w:sz w:val="21"/>
          <w:u w:val="wave"/>
        </w:rPr>
        <w:t>了</w:t>
      </w:r>
      <w:r>
        <w:rPr>
          <w:rFonts w:ascii="楷体" w:hAnsi="楷体" w:eastAsia="楷体" w:cs="楷体"/>
          <w:sz w:val="21"/>
        </w:rPr>
        <w:t>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面对湿热挑战，</w:t>
      </w:r>
      <w:r>
        <w:rPr>
          <w:sz w:val="21"/>
          <w:u w:val="single"/>
        </w:rPr>
        <w:t xml:space="preserve"> b </w:t>
      </w:r>
      <w:r>
        <w:rPr>
          <w:rFonts w:ascii="楷体" w:hAnsi="楷体" w:eastAsia="楷体" w:cs="楷体"/>
          <w:sz w:val="21"/>
        </w:rPr>
        <w:t>？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专家给出的应对方案是：在室内时尽可能保持良好的通风，降低环境湿度和温度，</w:t>
      </w:r>
      <w:r>
        <w:rPr>
          <w:rFonts w:ascii="楷体" w:hAnsi="楷体" w:eastAsia="楷体" w:cs="楷体"/>
          <w:sz w:val="21"/>
          <w:u w:val="wave"/>
        </w:rPr>
        <w:t>①饮食方面选择清淡易消化的食物，②尤忌少食油腻辛辣食物；③外出时尽量穿着透气性好的衣物，④以减少汗液积聚和细菌滋生，⑤并及时补充水分以维护体液平衡。</w:t>
      </w:r>
      <w:r>
        <w:rPr>
          <w:rFonts w:ascii="楷体" w:hAnsi="楷体" w:eastAsia="楷体" w:cs="楷体"/>
          <w:sz w:val="21"/>
        </w:rPr>
        <w:t>公众应多关注天气预报，视情况做好相应的防护和准备。如果不可避免地处在湿热环境中，就要及时注意自己的身体状况，一旦出现中暑等不适症状，应立即就医。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sz w:val="21"/>
        </w:rPr>
        <w:t>8．(3分)下列各句中的引号，与文中画波浪线处的引号作用相同的一项是（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A．他看上去更像一个地道的湖南农民，这使我想起了农民送给他的“泥腿子专家”的称号。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B．还有几位“大师”们捧着几张古画和新画，在欧洲各国一路的挂过去，叫作“发扬国光”。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C．“我是真的希望工匠精神可以变成我的墓志铭。”不久前，一位生产智能电器的企业家如是感慨。</w:t>
      </w:r>
    </w:p>
    <w:p>
      <w:pPr>
        <w:shd w:val="clear" w:color="auto" w:fill="auto"/>
        <w:spacing w:line="24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D．卢老师发现，当学生和老师进行双向选择时，有些学生可能因选不到合适的导师而“流落街头”。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sz w:val="21"/>
        </w:rPr>
        <w:t>9．(4分)请在文中画横线处补写恰当的语句，使整段文字语意完整连贯，内容贴切，逻辑严密，每处不超过15个字。</w:t>
      </w:r>
    </w:p>
    <w:p>
      <w:pPr>
        <w:shd w:val="clear" w:color="auto" w:fill="auto"/>
        <w:spacing w:line="24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0．(4分)文中画波浪线的语句有两处表述不当，请指出其序号并做出修改，使语言表达准确流畅，逻辑严密。不得改变原意。</w:t>
      </w:r>
    </w:p>
    <w:p>
      <w:pPr>
        <w:shd w:val="clear" w:color="auto" w:fill="auto"/>
        <w:spacing w:line="240" w:lineRule="auto"/>
        <w:jc w:val="left"/>
        <w:textAlignment w:val="center"/>
        <w:rPr>
          <w:rFonts w:hint="default" w:eastAsia="宋体"/>
          <w:b/>
          <w:bCs/>
          <w:sz w:val="21"/>
          <w:lang w:val="en-US" w:eastAsia="zh-CN"/>
        </w:rPr>
      </w:pPr>
      <w:r>
        <w:rPr>
          <w:rFonts w:hint="eastAsia"/>
          <w:b/>
          <w:bCs/>
          <w:sz w:val="21"/>
          <w:lang w:val="en-US" w:eastAsia="zh-CN"/>
        </w:rPr>
        <w:t>五、语言文字运用（二）（共10分）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sz w:val="21"/>
        </w:rPr>
        <w:t>阅读下面的文字，完成小题。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榫卯作为中国传统木作的一种接合方式，可谓</w:t>
      </w:r>
      <w:r>
        <w:rPr>
          <w:rFonts w:ascii="楷体" w:hAnsi="楷体" w:eastAsia="楷体" w:cs="楷体"/>
          <w:sz w:val="21"/>
          <w:u w:val="single"/>
        </w:rPr>
        <w:t xml:space="preserve"> </w:t>
      </w:r>
      <w:r>
        <w:rPr>
          <w:sz w:val="21"/>
          <w:u w:val="single"/>
        </w:rPr>
        <w:t>A</w:t>
      </w:r>
      <w:r>
        <w:rPr>
          <w:rFonts w:ascii="楷体" w:hAnsi="楷体" w:eastAsia="楷体" w:cs="楷体"/>
          <w:sz w:val="21"/>
          <w:u w:val="single"/>
        </w:rPr>
        <w:t xml:space="preserve"> </w:t>
      </w:r>
      <w:r>
        <w:rPr>
          <w:rFonts w:ascii="楷体" w:hAnsi="楷体" w:eastAsia="楷体" w:cs="楷体"/>
          <w:sz w:val="21"/>
        </w:rPr>
        <w:t>，考古发现，在距今</w:t>
      </w:r>
      <w:r>
        <w:rPr>
          <w:sz w:val="21"/>
        </w:rPr>
        <w:t>7000</w:t>
      </w:r>
      <w:r>
        <w:rPr>
          <w:rFonts w:ascii="楷体" w:hAnsi="楷体" w:eastAsia="楷体" w:cs="楷体"/>
          <w:sz w:val="21"/>
        </w:rPr>
        <w:t>年前的河姆渡文明时期，就已出现了榫卯结构的木构件。而后几千年，榫卯结构不断完善，形成了多个应用、发展高峰。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在建筑领域，辽代的应县木塔是榫卵结构应用的典型案例。全塔主体由数万个木构件搭建而成，</w:t>
      </w:r>
      <w:r>
        <w:rPr>
          <w:sz w:val="21"/>
        </w:rPr>
        <w:t>900</w:t>
      </w:r>
      <w:r>
        <w:rPr>
          <w:rFonts w:ascii="楷体" w:hAnsi="楷体" w:eastAsia="楷体" w:cs="楷体"/>
          <w:sz w:val="21"/>
        </w:rPr>
        <w:t>多年来，历经多次地震却始终</w:t>
      </w:r>
      <w:r>
        <w:rPr>
          <w:rFonts w:ascii="楷体" w:hAnsi="楷体" w:eastAsia="楷体" w:cs="楷体"/>
          <w:sz w:val="21"/>
          <w:u w:val="single"/>
        </w:rPr>
        <w:t xml:space="preserve"> </w:t>
      </w:r>
      <w:r>
        <w:rPr>
          <w:sz w:val="21"/>
          <w:u w:val="single"/>
        </w:rPr>
        <w:t xml:space="preserve">B </w:t>
      </w:r>
      <w:r>
        <w:rPr>
          <w:rFonts w:ascii="楷体" w:hAnsi="楷体" w:eastAsia="楷体" w:cs="楷体"/>
          <w:sz w:val="21"/>
          <w:u w:val="single"/>
        </w:rPr>
        <w:t xml:space="preserve"> </w:t>
      </w:r>
      <w:r>
        <w:rPr>
          <w:rFonts w:ascii="楷体" w:hAnsi="楷体" w:eastAsia="楷体" w:cs="楷体"/>
          <w:sz w:val="21"/>
        </w:rPr>
        <w:t>，很大程度上归功于榫卯结构的设计。在家具领域，明代榫卯家具把中国传统家具推向发展顶峰。①在这一时期，②匠人们不断提高榫卯制作技艺和应用，③制作家具能够不用一钉一胶，④实现构件合理连接，⑤家具结构科学。</w:t>
      </w:r>
    </w:p>
    <w:p>
      <w:pPr>
        <w:shd w:val="clear" w:color="auto" w:fill="auto"/>
        <w:spacing w:line="24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从应县木塔到美观实用的家具，几块普通的木头因榫卯变得如此牢靠，原因何在？专家认为，榫卯利用错位、限位、避让的设计理念，让构件柔性组合在一体，达到</w:t>
      </w:r>
      <w:r>
        <w:rPr>
          <w:sz w:val="21"/>
          <w:u w:val="wave"/>
        </w:rPr>
        <w:t>“</w:t>
      </w:r>
      <w:r>
        <w:rPr>
          <w:rFonts w:ascii="楷体" w:hAnsi="楷体" w:eastAsia="楷体" w:cs="楷体"/>
          <w:sz w:val="21"/>
          <w:u w:val="wave"/>
        </w:rPr>
        <w:t>牢而不固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的效果。错位，简单理解就是留间隙。很多人认为榫卯（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  <w:sz w:val="21"/>
        </w:rPr>
        <w:t>甲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  <w:sz w:val="21"/>
        </w:rPr>
        <w:t>），实则不然。榫与卯之间都存在一定间隙，有一定的灵活性。榫卯间隙让建筑连接的节点</w:t>
      </w:r>
      <w:r>
        <w:rPr>
          <w:rFonts w:ascii="楷体" w:hAnsi="楷体" w:eastAsia="楷体" w:cs="楷体"/>
          <w:sz w:val="21"/>
          <w:em w:val="dot"/>
          <w:lang w:eastAsia="zh-CN"/>
        </w:rPr>
        <w:t>如同</w:t>
      </w:r>
      <w:r>
        <w:rPr>
          <w:rFonts w:ascii="楷体" w:hAnsi="楷体" w:eastAsia="楷体" w:cs="楷体"/>
          <w:sz w:val="21"/>
        </w:rPr>
        <w:t>弹簧一样，能够发生一定的形变。尽管看似因摇晃产生了结构变形，但只要不折榫、不拔榫，就能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晃而不散，摇而不倒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。限位，可以理解为（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  <w:sz w:val="21"/>
        </w:rPr>
        <w:t>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  <w:sz w:val="21"/>
        </w:rPr>
        <w:t>）。榫卯通过榫与卯形状的恰当组合、销和销孔的运用，限制了构件位置水平方向的移动。避让是指榫卯构件彼此避让，不在一个交点相遇，不影响家具的美观和坚实。在数千年的演变过程中，榫卯结构逐渐应用于不同材质，也形成了不同结构形式。但无论是何种材质与形式，本质上都是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错位、限位、避让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理念的体现。榫卯结构在一凹一凸之间，看似矛盾实则互补对方之缺，可以达到巧妙的平衡，这其实就是中国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和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的思想体现。</w:t>
      </w:r>
    </w:p>
    <w:p>
      <w:pPr>
        <w:shd w:val="clear" w:color="auto" w:fill="auto"/>
        <w:spacing w:line="24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11</w:t>
      </w:r>
      <w:r>
        <w:rPr>
          <w:sz w:val="21"/>
        </w:rPr>
        <w:t>．文中第三段中加点的“如同”，如果替换为“好像”，虽都能保持基本的比喻意义，但在表达效果上存在一定差异，请简要比较。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4分</w:t>
      </w:r>
      <w:r>
        <w:rPr>
          <w:rFonts w:hint="eastAsia"/>
          <w:sz w:val="21"/>
          <w:lang w:eastAsia="zh-CN"/>
        </w:rPr>
        <w:t>）</w:t>
      </w:r>
    </w:p>
    <w:p>
      <w:pPr>
        <w:shd w:val="clear" w:color="auto" w:fill="auto"/>
        <w:spacing w:line="24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12</w:t>
      </w:r>
      <w:r>
        <w:rPr>
          <w:sz w:val="21"/>
        </w:rPr>
        <w:t>．请在文中画横线处填入恰当的成语。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2分</w:t>
      </w:r>
      <w:r>
        <w:rPr>
          <w:rFonts w:hint="eastAsia"/>
          <w:sz w:val="21"/>
          <w:lang w:eastAsia="zh-CN"/>
        </w:rPr>
        <w:t>）</w:t>
      </w:r>
    </w:p>
    <w:p>
      <w:pPr>
        <w:spacing w:line="240" w:lineRule="auto"/>
        <w:rPr>
          <w:rFonts w:hint="eastAsia" w:eastAsia="宋体"/>
          <w:lang w:eastAsia="zh-CN"/>
        </w:rPr>
      </w:pPr>
      <w:r>
        <w:rPr>
          <w:rFonts w:hint="eastAsia"/>
          <w:sz w:val="21"/>
          <w:lang w:val="en-US" w:eastAsia="zh-CN"/>
        </w:rPr>
        <w:t>13</w:t>
      </w:r>
      <w:r>
        <w:rPr>
          <w:sz w:val="21"/>
        </w:rPr>
        <w:t>．文中画波浪线的“牢而不固”，有人说自相矛盾，有人说表述恰当。你的看法是什么？请简要说</w:t>
      </w:r>
      <w:bookmarkStart w:id="0" w:name="_GoBack"/>
      <w:bookmarkEnd w:id="0"/>
      <w:r>
        <w:rPr>
          <w:sz w:val="21"/>
        </w:rPr>
        <w:t>明理由。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4分</w:t>
      </w:r>
      <w:r>
        <w:rPr>
          <w:rFonts w:hint="eastAsia"/>
          <w:sz w:val="21"/>
          <w:lang w:eastAsia="zh-CN"/>
        </w:rPr>
        <w:t>）</w:t>
      </w:r>
    </w:p>
    <w:p/>
    <w:sectPr>
      <w:footerReference r:id="rId3" w:type="default"/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 Math">
    <w:altName w:val="Kingsoft Math"/>
    <w:panose1 w:val="02040503050406030204"/>
    <w:charset w:val="01"/>
    <w:family w:val="roman"/>
    <w:pitch w:val="default"/>
    <w:sig w:usb0="00000000" w:usb1="00000000" w:usb2="02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BA4C84"/>
    <w:multiLevelType w:val="singleLevel"/>
    <w:tmpl w:val="BCBA4C8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D1482"/>
    <w:rsid w:val="5FDFC763"/>
    <w:rsid w:val="7DBD1482"/>
    <w:rsid w:val="FBFBF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2025-07-07T09:48:00Z</dcterms:created>
  <dc:creator>zhuzhugongzhu</dc:creator>
  <cp:lastModifiedBy>zhuzhugongzhu</cp:lastModifiedBy>
  <dcterms:modified xsi:type="dcterms:W3CDTF">2025-07-06T17:55:37Z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99392048BEDDD41072466A68D4A210FD_41</vt:lpwstr>
  </property>
</Properties>
</file>