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16869">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黑体" w:hAnsi="黑体" w:eastAsia="黑体" w:cs="黑体"/>
          <w:sz w:val="28"/>
          <w:szCs w:val="28"/>
          <w:lang w:val="en-US" w:eastAsia="zh-CN"/>
        </w:rPr>
      </w:pPr>
      <w:r>
        <w:rPr>
          <w:rFonts w:hint="eastAsia" w:ascii="黑体" w:hAnsi="黑体" w:eastAsia="黑体" w:cs="黑体"/>
          <w:sz w:val="28"/>
          <w:szCs w:val="28"/>
        </w:rPr>
        <w:t>江苏省仪征中学</w:t>
      </w:r>
      <w:r>
        <w:rPr>
          <w:rFonts w:hint="eastAsia" w:ascii="黑体" w:hAnsi="黑体" w:eastAsia="黑体" w:cs="黑体"/>
          <w:sz w:val="28"/>
          <w:szCs w:val="28"/>
          <w:lang w:val="en-US" w:eastAsia="zh-CN"/>
        </w:rPr>
        <w:t>2026届高三暑假生物学科检测试卷一</w:t>
      </w:r>
    </w:p>
    <w:p w14:paraId="3B1BC4AA">
      <w:pPr>
        <w:keepNext w:val="0"/>
        <w:keepLines w:val="0"/>
        <w:pageBreakBefore w:val="0"/>
        <w:widowControl w:val="0"/>
        <w:kinsoku/>
        <w:wordWrap/>
        <w:overflowPunct/>
        <w:topLinePunct w:val="0"/>
        <w:autoSpaceDE/>
        <w:autoSpaceDN/>
        <w:bidi w:val="0"/>
        <w:adjustRightInd/>
        <w:snapToGrid/>
        <w:spacing w:line="240" w:lineRule="auto"/>
        <w:jc w:val="right"/>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2025.07</w:t>
      </w:r>
    </w:p>
    <w:p w14:paraId="4E14234A">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单项选择题：本部分包括</w:t>
      </w:r>
      <w:r>
        <w:rPr>
          <w:rFonts w:hint="eastAsia" w:ascii="宋体" w:hAnsi="宋体" w:eastAsia="宋体" w:cs="宋体"/>
          <w:b/>
          <w:bCs/>
          <w:color w:val="auto"/>
          <w:sz w:val="21"/>
          <w:szCs w:val="21"/>
          <w:lang w:val="en-US" w:eastAsia="zh-CN"/>
        </w:rPr>
        <w:t>15</w:t>
      </w:r>
      <w:r>
        <w:rPr>
          <w:rFonts w:hint="eastAsia" w:ascii="宋体" w:hAnsi="宋体" w:eastAsia="宋体" w:cs="宋体"/>
          <w:b/>
          <w:bCs/>
          <w:color w:val="auto"/>
          <w:sz w:val="21"/>
          <w:szCs w:val="21"/>
        </w:rPr>
        <w:t>题，每题</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分，共</w:t>
      </w:r>
      <w:r>
        <w:rPr>
          <w:rFonts w:hint="eastAsia" w:ascii="宋体" w:hAnsi="宋体" w:eastAsia="宋体" w:cs="宋体"/>
          <w:b/>
          <w:bCs/>
          <w:color w:val="auto"/>
          <w:sz w:val="21"/>
          <w:szCs w:val="21"/>
          <w:lang w:val="en-US" w:eastAsia="zh-CN"/>
        </w:rPr>
        <w:t>30</w:t>
      </w:r>
      <w:r>
        <w:rPr>
          <w:rFonts w:hint="eastAsia" w:ascii="宋体" w:hAnsi="宋体" w:eastAsia="宋体" w:cs="宋体"/>
          <w:b/>
          <w:bCs/>
          <w:color w:val="auto"/>
          <w:sz w:val="21"/>
          <w:szCs w:val="21"/>
        </w:rPr>
        <w:t>分。每题只有一个选项最符合题意。</w:t>
      </w:r>
    </w:p>
    <w:p w14:paraId="3FC5B3F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1．下列有关生物体中元素和化合物的叙述，正确的是</w:t>
      </w:r>
      <w:r>
        <w:rPr>
          <w:rFonts w:hint="eastAsia" w:ascii="宋体" w:hAnsi="宋体" w:eastAsia="宋体" w:cs="宋体"/>
          <w:sz w:val="21"/>
          <w:szCs w:val="21"/>
          <w:lang w:val="en-US" w:eastAsia="zh-CN"/>
        </w:rPr>
        <w:t xml:space="preserve"> </w:t>
      </w:r>
    </w:p>
    <w:p w14:paraId="1A96EC3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A．性激素在核糖体上合成，经内质网加工再由高尔基体分泌</w:t>
      </w:r>
    </w:p>
    <w:p w14:paraId="241CCB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B．血红蛋白含有Fe</w:t>
      </w:r>
      <w:r>
        <w:rPr>
          <w:rFonts w:hint="eastAsia" w:ascii="宋体" w:hAnsi="宋体" w:eastAsia="宋体" w:cs="宋体"/>
          <w:sz w:val="21"/>
          <w:szCs w:val="21"/>
          <w:vertAlign w:val="superscript"/>
        </w:rPr>
        <w:t>3＋</w:t>
      </w:r>
      <w:r>
        <w:rPr>
          <w:rFonts w:hint="eastAsia" w:ascii="宋体" w:hAnsi="宋体" w:eastAsia="宋体" w:cs="宋体"/>
          <w:sz w:val="21"/>
          <w:szCs w:val="21"/>
        </w:rPr>
        <w:t>且参与O</w:t>
      </w:r>
      <w:r>
        <w:rPr>
          <w:rFonts w:hint="eastAsia" w:ascii="宋体" w:hAnsi="宋体" w:eastAsia="宋体" w:cs="宋体"/>
          <w:sz w:val="21"/>
          <w:szCs w:val="21"/>
          <w:vertAlign w:val="subscript"/>
        </w:rPr>
        <w:t>2</w:t>
      </w:r>
      <w:r>
        <w:rPr>
          <w:rFonts w:hint="eastAsia" w:ascii="宋体" w:hAnsi="宋体" w:eastAsia="宋体" w:cs="宋体"/>
          <w:sz w:val="21"/>
          <w:szCs w:val="21"/>
        </w:rPr>
        <w:t>运输，叶绿素含有Mg</w:t>
      </w:r>
      <w:r>
        <w:rPr>
          <w:rFonts w:hint="eastAsia" w:ascii="宋体" w:hAnsi="宋体" w:eastAsia="宋体" w:cs="宋体"/>
          <w:sz w:val="21"/>
          <w:szCs w:val="21"/>
          <w:vertAlign w:val="superscript"/>
        </w:rPr>
        <w:t>2＋</w:t>
      </w:r>
      <w:r>
        <w:rPr>
          <w:rFonts w:hint="eastAsia" w:ascii="宋体" w:hAnsi="宋体" w:eastAsia="宋体" w:cs="宋体"/>
          <w:sz w:val="21"/>
          <w:szCs w:val="21"/>
        </w:rPr>
        <w:t>且吸收可见光</w:t>
      </w:r>
    </w:p>
    <w:p w14:paraId="2321821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C．血浆渗透压主要由蛋白质维持，组织液渗透压主要由无机盐维持</w:t>
      </w:r>
    </w:p>
    <w:p w14:paraId="2A9BD8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D．控制细菌性状的基因位于拟核的DNA分子上和质粒上</w:t>
      </w:r>
    </w:p>
    <w:p w14:paraId="4D3716A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2．流感病毒是流感的病原体，会引发呼吸道症状。流感病毒的结构如图所示，其包膜上的抗原蛋白为血凝素和神经氨酸酶。下列叙述错误的是</w:t>
      </w:r>
      <w:r>
        <w:rPr>
          <w:rFonts w:hint="eastAsia" w:ascii="宋体" w:hAnsi="宋体" w:eastAsia="宋体" w:cs="宋体"/>
          <w:sz w:val="21"/>
          <w:szCs w:val="21"/>
          <w:lang w:val="en-US" w:eastAsia="zh-CN"/>
        </w:rPr>
        <w:t xml:space="preserve"> </w:t>
      </w:r>
    </w:p>
    <w:p w14:paraId="2E95C12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2216150" cy="1390015"/>
            <wp:effectExtent l="0" t="0" r="6350" b="6985"/>
            <wp:docPr id="100003" name="图片 100003" descr="@@@78532766-8864-411b-8b74-6e8cc443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8532766-8864-411b-8b74-6e8cc4432484"/>
                    <pic:cNvPicPr>
                      <a:picLocks noChangeAspect="1"/>
                    </pic:cNvPicPr>
                  </pic:nvPicPr>
                  <pic:blipFill>
                    <a:blip r:embed="rId5"/>
                    <a:stretch>
                      <a:fillRect/>
                    </a:stretch>
                  </pic:blipFill>
                  <pic:spPr>
                    <a:xfrm>
                      <a:off x="0" y="0"/>
                      <a:ext cx="2216150" cy="1390015"/>
                    </a:xfrm>
                    <a:prstGeom prst="rect">
                      <a:avLst/>
                    </a:prstGeom>
                  </pic:spPr>
                </pic:pic>
              </a:graphicData>
            </a:graphic>
          </wp:inline>
        </w:drawing>
      </w:r>
    </w:p>
    <w:p w14:paraId="79A4AA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A．流感病毒的遗传信息储存在RNA中</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B．流感病毒利用宿主细胞内的原料和能量进行繁殖</w:t>
      </w:r>
    </w:p>
    <w:p w14:paraId="181647C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C．病毒是生命系统结构层次中最简单的层次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D．流感病毒的组装需要RNA、蛋白质和磷脂等</w:t>
      </w:r>
    </w:p>
    <w:p w14:paraId="4C323AA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60288" behindDoc="0" locked="0" layoutInCell="1" allowOverlap="1">
            <wp:simplePos x="0" y="0"/>
            <wp:positionH relativeFrom="column">
              <wp:posOffset>519430</wp:posOffset>
            </wp:positionH>
            <wp:positionV relativeFrom="paragraph">
              <wp:posOffset>135255</wp:posOffset>
            </wp:positionV>
            <wp:extent cx="1275080" cy="1087755"/>
            <wp:effectExtent l="0" t="0" r="7620" b="4445"/>
            <wp:wrapSquare wrapText="bothSides"/>
            <wp:docPr id="100005" name="图片 100005" descr="@@@438e56ff-29fd-4141-97e1-d062edd76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438e56ff-29fd-4141-97e1-d062edd765c8"/>
                    <pic:cNvPicPr>
                      <a:picLocks noChangeAspect="1"/>
                    </pic:cNvPicPr>
                  </pic:nvPicPr>
                  <pic:blipFill>
                    <a:blip r:embed="rId6"/>
                    <a:stretch>
                      <a:fillRect/>
                    </a:stretch>
                  </pic:blipFill>
                  <pic:spPr>
                    <a:xfrm>
                      <a:off x="0" y="0"/>
                      <a:ext cx="1275080" cy="1087755"/>
                    </a:xfrm>
                    <a:prstGeom prst="rect">
                      <a:avLst/>
                    </a:prstGeom>
                  </pic:spPr>
                </pic:pic>
              </a:graphicData>
            </a:graphic>
          </wp:anchor>
        </w:drawing>
      </w:r>
    </w:p>
    <w:p w14:paraId="0416FE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59264" behindDoc="1" locked="0" layoutInCell="1" allowOverlap="1">
            <wp:simplePos x="0" y="0"/>
            <wp:positionH relativeFrom="column">
              <wp:posOffset>3246755</wp:posOffset>
            </wp:positionH>
            <wp:positionV relativeFrom="paragraph">
              <wp:posOffset>69215</wp:posOffset>
            </wp:positionV>
            <wp:extent cx="1758950" cy="852170"/>
            <wp:effectExtent l="0" t="0" r="6350" b="11430"/>
            <wp:wrapTight wrapText="bothSides">
              <wp:wrapPolygon>
                <wp:start x="0" y="0"/>
                <wp:lineTo x="0" y="21246"/>
                <wp:lineTo x="21522" y="21246"/>
                <wp:lineTo x="21522" y="0"/>
                <wp:lineTo x="0" y="0"/>
              </wp:wrapPolygon>
            </wp:wrapTight>
            <wp:docPr id="100007" name="图片 100007" descr="@@@769a4290-4a7c-4a77-8246-2e3ec11a9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769a4290-4a7c-4a77-8246-2e3ec11a93ba"/>
                    <pic:cNvPicPr>
                      <a:picLocks noChangeAspect="1"/>
                    </pic:cNvPicPr>
                  </pic:nvPicPr>
                  <pic:blipFill>
                    <a:blip r:embed="rId7"/>
                    <a:stretch>
                      <a:fillRect/>
                    </a:stretch>
                  </pic:blipFill>
                  <pic:spPr>
                    <a:xfrm>
                      <a:off x="0" y="0"/>
                      <a:ext cx="1758950" cy="852170"/>
                    </a:xfrm>
                    <a:prstGeom prst="rect">
                      <a:avLst/>
                    </a:prstGeom>
                  </pic:spPr>
                </pic:pic>
              </a:graphicData>
            </a:graphic>
          </wp:anchor>
        </w:drawing>
      </w:r>
    </w:p>
    <w:p w14:paraId="6EDFE9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p>
    <w:p w14:paraId="15AECF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p>
    <w:p w14:paraId="217B89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p>
    <w:p w14:paraId="70BFF20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p>
    <w:p w14:paraId="6E24E69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3818255</wp:posOffset>
                </wp:positionH>
                <wp:positionV relativeFrom="paragraph">
                  <wp:posOffset>44450</wp:posOffset>
                </wp:positionV>
                <wp:extent cx="596265" cy="290195"/>
                <wp:effectExtent l="4445" t="4445" r="8890" b="10160"/>
                <wp:wrapNone/>
                <wp:docPr id="7" name="文本框 7"/>
                <wp:cNvGraphicFramePr/>
                <a:graphic xmlns:a="http://schemas.openxmlformats.org/drawingml/2006/main">
                  <a:graphicData uri="http://schemas.microsoft.com/office/word/2010/wordprocessingShape">
                    <wps:wsp>
                      <wps:cNvSpPr txBox="1"/>
                      <wps:spPr>
                        <a:xfrm>
                          <a:off x="0" y="0"/>
                          <a:ext cx="596265" cy="290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5A7751">
                            <w:pPr>
                              <w:rPr>
                                <w:rFonts w:hint="default" w:eastAsiaTheme="minorEastAsia"/>
                                <w:lang w:val="en-US" w:eastAsia="zh-CN"/>
                              </w:rPr>
                            </w:pPr>
                            <w:r>
                              <w:rPr>
                                <w:rFonts w:hint="eastAsia"/>
                                <w:lang w:val="en-US" w:eastAsia="zh-CN"/>
                              </w:rPr>
                              <w:t>4题图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65pt;margin-top:3.5pt;height:22.85pt;width:46.95pt;z-index:251665408;mso-width-relative:page;mso-height-relative:page;" fillcolor="#FFFFFF [3201]" filled="t" stroked="t" coordsize="21600,21600" o:gfxdata="UEsDBAoAAAAAAIdO4kAAAAAAAAAAAAAAAAAEAAAAZHJzL1BLAwQUAAAACACHTuJAvp6taNUAAAAI&#10;AQAADwAAAGRycy9kb3ducmV2LnhtbE2PT0vDQBTE74LfYXmCN7ubhKaa5qWgIIg3ay7ettnXJHT/&#10;hOy2qd/e50mPwwwzv6l3V2fFheY4Bo+QrRQI8l0wo+8R2s/Xh0cQMWlvtA2eEL4pwq65val1ZcLi&#10;P+iyT73gEh8rjTCkNFVSxm4gp+MqTOTZO4bZ6cRy7qWZ9cLlzspcqVI6PXpeGPRELwN1p/3ZIbyV&#10;z+mLWvNuirwISyu7+Wgj4v1dprYgEl3TXxh+8RkdGmY6hLM3UViEUmUFRxE2fIn98mmdgzggrPMN&#10;yKaW/w80P1BLAwQUAAAACACHTuJAalmrIVcCAAC2BAAADgAAAGRycy9lMm9Eb2MueG1srVTNbhox&#10;EL5X6jtYvpcFGqCgLBFNRFUJNZFo1bPxelmrtse1Dbv0Ado36KmX3vtceY6OvQv56yGHcjDzxzcz&#10;38xwftFoRfbCeQkmp4NenxJhOBTSbHP66ePy1RtKfGCmYAqMyOlBeHoxf/nivLYzMYQKVCEcQRDj&#10;Z7XNaRWCnWWZ55XQzPfACoPOEpxmAVW3zQrHakTXKhv2++OsBldYB1x4j9ar1kk7RPccQChLycUV&#10;8J0WJrSoTigWsCVfSevpPFVbloKH67L0IhCVU+w0pBeToLyJbzY/Z7OtY7aSvCuBPaeERz1pJg0m&#10;PUFdscDIzsknUFpyBx7K0OOgs7aRxAh2Meg/4mZdMStSL0i1tyfS/f+D5R/2N47IIqcTSgzTOPDb&#10;nz9uf/25/f2dTCI9tfUzjFpbjAvNW2hwaY52j8bYdVM6Hb+xH4J+JPdwIlc0gXA0jqbj4XhECUfX&#10;cNofTEcRJbv7sXU+vBOgSRRy6nB2iVK2X/nQhh5DYi4PShZLqVRS3HZzqRzZM5zzMn069AdhypA6&#10;p+PXo35CfuCL2CeIjWL8y1MErFYZLDpy0vYepdBsmo6oDRQH5MlBu2je8qVE3BXz4YY53CykBm8v&#10;XONTKsBioJMoqcB9+5c9xuPA0UtJjZuaU/91x5ygRL03uArTwdlZXO2knI0mQ1Tcfc/mvsfs9CUg&#10;SQO8csuTGOODOoqlA/0ZT3QRs6KLGY65cxqO4mVo7wdPnIvFIgXhMlsWVmZteYSOIzGw2AUoZRpd&#10;pKnlpmMP1zkNvzu9eC/39RR193cz/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q1o1QAAAAgB&#10;AAAPAAAAAAAAAAEAIAAAACIAAABkcnMvZG93bnJldi54bWxQSwECFAAUAAAACACHTuJAalmrIVcC&#10;AAC2BAAADgAAAAAAAAABACAAAAAkAQAAZHJzL2Uyb0RvYy54bWxQSwUGAAAAAAYABgBZAQAA7QUA&#10;AAAA&#10;">
                <v:fill on="t" focussize="0,0"/>
                <v:stroke weight="0.5pt" color="#000000 [3204]" joinstyle="round"/>
                <v:imagedata o:title=""/>
                <o:lock v:ext="edit" aspectratio="f"/>
                <v:textbox>
                  <w:txbxContent>
                    <w:p w14:paraId="505A7751">
                      <w:pPr>
                        <w:rPr>
                          <w:rFonts w:hint="default" w:eastAsiaTheme="minorEastAsia"/>
                          <w:lang w:val="en-US" w:eastAsia="zh-CN"/>
                        </w:rPr>
                      </w:pPr>
                      <w:r>
                        <w:rPr>
                          <w:rFonts w:hint="eastAsia"/>
                          <w:lang w:val="en-US" w:eastAsia="zh-CN"/>
                        </w:rPr>
                        <w:t>4题图</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905510</wp:posOffset>
                </wp:positionH>
                <wp:positionV relativeFrom="paragraph">
                  <wp:posOffset>84455</wp:posOffset>
                </wp:positionV>
                <wp:extent cx="596265" cy="277495"/>
                <wp:effectExtent l="4445" t="4445" r="8890" b="10160"/>
                <wp:wrapNone/>
                <wp:docPr id="6" name="文本框 6"/>
                <wp:cNvGraphicFramePr/>
                <a:graphic xmlns:a="http://schemas.openxmlformats.org/drawingml/2006/main">
                  <a:graphicData uri="http://schemas.microsoft.com/office/word/2010/wordprocessingShape">
                    <wps:wsp>
                      <wps:cNvSpPr txBox="1"/>
                      <wps:spPr>
                        <a:xfrm>
                          <a:off x="1286510" y="5895975"/>
                          <a:ext cx="596265" cy="277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2F56D4">
                            <w:pPr>
                              <w:rPr>
                                <w:rFonts w:hint="default" w:eastAsiaTheme="minorEastAsia"/>
                                <w:lang w:val="en-US" w:eastAsia="zh-CN"/>
                              </w:rPr>
                            </w:pPr>
                            <w:r>
                              <w:rPr>
                                <w:rFonts w:hint="eastAsia"/>
                                <w:lang w:val="en-US" w:eastAsia="zh-CN"/>
                              </w:rPr>
                              <w:t>3题图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3pt;margin-top:6.65pt;height:21.85pt;width:46.95pt;z-index:251664384;mso-width-relative:page;mso-height-relative:page;" fillcolor="#FFFFFF [3201]" filled="t" stroked="t" coordsize="21600,21600" o:gfxdata="UEsDBAoAAAAAAIdO4kAAAAAAAAAAAAAAAAAEAAAAZHJzL1BLAwQUAAAACACHTuJAbHdU/NUAAAAJ&#10;AQAADwAAAGRycy9kb3ducmV2LnhtbE2PwU7DMAyG70i8Q2QkbixZwwoqTSeBhIS4sfXCLWu8tqJx&#10;qiRbx9tjTnDzL3/6/bneXvwkzhjTGMjAeqVAIHXBjdQbaPevd48gUrbk7BQIDXxjgm1zfVXbyoWF&#10;PvC8y73gEkqVNTDkPFdSpm5Ab9MqzEi8O4bobeYYe+miXbjcT7JQqpTejsQXBjvjy4Dd1+7kDbyV&#10;z/kTW/fudKHD0souHqdkzO3NWj2ByHjJfzD86rM6NOx0CCdySUyc74uSUR60BsFAocsNiIOBzYMC&#10;2dTy/wfND1BLAwQUAAAACACHTuJATk9p02UCAADCBAAADgAAAGRycy9lMm9Eb2MueG1srVTNbhMx&#10;EL4j8Q6W73STkM2fsqlCqyCkilYqiLPj9WYtbI+xneyWB6BvwIkLd56rz8HYm6R/HHogB2fG8+Ub&#10;zzczmZ+2WpGdcF6CKWj/pEeJMBxKaTYF/fxp9WZCiQ/MlEyBEQW9EZ6eLl6/mjd2JgZQgyqFI0hi&#10;/KyxBa1DsLMs87wWmvkTsMJgsAKnWUDXbbLSsQbZtcoGvd4oa8CV1gEX3uPteReke0b3EkKoKsnF&#10;OfCtFiZ0rE4oFrAkX0vr6SK9tqoED5dV5UUgqqBYaUgnJkF7Hc9sMWezjWO2lnz/BPaSJzypSTNp&#10;MOmR6pwFRrZOPqPSkjvwUIUTDjrrCkmKYBX93hNtrmtmRaoFpfb2KLr/f7T84+7KEVkWdESJYRob&#10;fvfz9u7Xn7vfP8goytNYP0PUtUVcaN9Bi0NzuPd4GatuK6fjN9ZDYnwwGeV9lPimoPlkmk/HeSe0&#10;aAPhCMino8Eop4QjYDAeD6cpnt0TWefDewGaRKOgDvuY5GW7Cx/wUQg9QGJeD0qWK6lUctxmfaYc&#10;2THs+Sp9Ynb8ySOYMqTBqt/mvcT8KBa5jxRrxfjX5wzIpwzSRn06HaIV2nW7F20N5Q1q5qAbOm/5&#10;SiLvBfPhijmcMhQI9zBc4lEpwMfA3qKkBvf9X/cRj83HKCUNTm1B/bctc4IS9cHgWEz7w2Ec8+QM&#10;8/EAHfcwsn4YMVt9BihSHzfe8mRGfFAHs3Kgv+C6LmNWDDHDMXdBw8E8C90u4bpzsVwmEA62ZeHC&#10;XFseqWNLDCy3ASqZWhdl6rTZq4ejndqzX8O4Ow/9hLr/61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x3VPzVAAAACQEAAA8AAAAAAAAAAQAgAAAAIgAAAGRycy9kb3ducmV2LnhtbFBLAQIUABQA&#10;AAAIAIdO4kBOT2nTZQIAAMIEAAAOAAAAAAAAAAEAIAAAACQBAABkcnMvZTJvRG9jLnhtbFBLBQYA&#10;AAAABgAGAFkBAAD7BQAAAAA=&#10;">
                <v:fill on="t" focussize="0,0"/>
                <v:stroke weight="0.5pt" color="#000000 [3204]" joinstyle="round"/>
                <v:imagedata o:title=""/>
                <o:lock v:ext="edit" aspectratio="f"/>
                <v:textbox>
                  <w:txbxContent>
                    <w:p w14:paraId="6D2F56D4">
                      <w:pPr>
                        <w:rPr>
                          <w:rFonts w:hint="default" w:eastAsiaTheme="minorEastAsia"/>
                          <w:lang w:val="en-US" w:eastAsia="zh-CN"/>
                        </w:rPr>
                      </w:pPr>
                      <w:r>
                        <w:rPr>
                          <w:rFonts w:hint="eastAsia"/>
                          <w:lang w:val="en-US" w:eastAsia="zh-CN"/>
                        </w:rPr>
                        <w:t>3题图</w:t>
                      </w:r>
                    </w:p>
                  </w:txbxContent>
                </v:textbox>
              </v:shape>
            </w:pict>
          </mc:Fallback>
        </mc:AlternateContent>
      </w:r>
    </w:p>
    <w:p w14:paraId="189DEE3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p>
    <w:p w14:paraId="105E918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右</w:t>
      </w:r>
      <w:r>
        <w:rPr>
          <w:rFonts w:hint="eastAsia" w:ascii="宋体" w:hAnsi="宋体" w:eastAsia="宋体" w:cs="宋体"/>
          <w:sz w:val="21"/>
          <w:szCs w:val="21"/>
        </w:rPr>
        <w:t>图分别为两种细胞器的部分结构示意图，其中分析错误的是</w:t>
      </w:r>
      <w:r>
        <w:rPr>
          <w:rFonts w:hint="eastAsia" w:ascii="宋体" w:hAnsi="宋体" w:eastAsia="宋体" w:cs="宋体"/>
          <w:sz w:val="21"/>
          <w:szCs w:val="21"/>
          <w:lang w:val="en-US" w:eastAsia="zh-CN"/>
        </w:rPr>
        <w:t xml:space="preserve"> </w:t>
      </w:r>
    </w:p>
    <w:p w14:paraId="24BAA7A3">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图a表示线粒体，其基质是进行有氧呼吸消耗O</w:t>
      </w:r>
      <w:r>
        <w:rPr>
          <w:rFonts w:hint="eastAsia" w:ascii="宋体" w:hAnsi="宋体" w:eastAsia="宋体" w:cs="宋体"/>
          <w:sz w:val="21"/>
          <w:szCs w:val="21"/>
          <w:vertAlign w:val="subscript"/>
        </w:rPr>
        <w:t>2</w:t>
      </w:r>
      <w:r>
        <w:rPr>
          <w:rFonts w:hint="eastAsia" w:ascii="宋体" w:hAnsi="宋体" w:eastAsia="宋体" w:cs="宋体"/>
          <w:sz w:val="21"/>
          <w:szCs w:val="21"/>
        </w:rPr>
        <w:t>的场所</w:t>
      </w:r>
    </w:p>
    <w:p w14:paraId="5DA09D85">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rPr>
        <w:t>B．图b表示叶绿体，其基质是进行光合作用消耗CO</w:t>
      </w:r>
      <w:r>
        <w:rPr>
          <w:rFonts w:hint="eastAsia" w:ascii="宋体" w:hAnsi="宋体" w:eastAsia="宋体" w:cs="宋体"/>
          <w:sz w:val="21"/>
          <w:szCs w:val="21"/>
          <w:vertAlign w:val="subscript"/>
        </w:rPr>
        <w:t>2</w:t>
      </w:r>
      <w:r>
        <w:rPr>
          <w:rFonts w:hint="eastAsia" w:ascii="宋体" w:hAnsi="宋体" w:eastAsia="宋体" w:cs="宋体"/>
          <w:sz w:val="21"/>
          <w:szCs w:val="21"/>
        </w:rPr>
        <w:t>的场所</w:t>
      </w:r>
    </w:p>
    <w:p w14:paraId="602DA38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C．这两种细胞器都与能量的转换有关，可共存于一个细胞中</w:t>
      </w:r>
    </w:p>
    <w:p w14:paraId="64666E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D．这两种细胞器中都含有生物大分子蛋白质、DNA和RNA</w:t>
      </w:r>
    </w:p>
    <w:p w14:paraId="6F33E5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4．透析袋是一种半透膜，水、葡萄糖等小分子和离子可以通过，而蔗糖、淀粉、蛋白质等则无法通过。某实验小组搭建了如图所示的实验装置验证上述结论。A是袋内溶液，烧杯中B是蒸馏水。下列</w:t>
      </w:r>
      <w:r>
        <w:rPr>
          <w:rFonts w:hint="eastAsia" w:ascii="宋体" w:hAnsi="宋体" w:eastAsia="宋体" w:cs="宋体"/>
          <w:sz w:val="21"/>
          <w:szCs w:val="21"/>
          <w:lang w:val="en-US" w:eastAsia="zh-CN"/>
        </w:rPr>
        <w:t>叙述错误的</w:t>
      </w:r>
      <w:r>
        <w:rPr>
          <w:rFonts w:hint="eastAsia" w:ascii="宋体" w:hAnsi="宋体" w:eastAsia="宋体" w:cs="宋体"/>
          <w:sz w:val="21"/>
          <w:szCs w:val="21"/>
        </w:rPr>
        <w:t>是</w:t>
      </w:r>
      <w:r>
        <w:rPr>
          <w:rFonts w:hint="eastAsia" w:ascii="宋体" w:hAnsi="宋体" w:eastAsia="宋体" w:cs="宋体"/>
          <w:sz w:val="21"/>
          <w:szCs w:val="21"/>
          <w:lang w:val="en-US" w:eastAsia="zh-CN"/>
        </w:rPr>
        <w:t xml:space="preserve"> </w:t>
      </w:r>
    </w:p>
    <w:p w14:paraId="22EDF9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A．若A是蛋白质溶液，B中加入</w:t>
      </w:r>
      <w:r>
        <w:rPr>
          <w:rFonts w:hint="eastAsia" w:ascii="宋体" w:hAnsi="宋体" w:eastAsia="宋体" w:cs="宋体"/>
          <w:sz w:val="21"/>
          <w:szCs w:val="21"/>
          <w:lang w:val="en-US" w:eastAsia="zh-CN"/>
        </w:rPr>
        <w:t>苏丹III</w:t>
      </w:r>
      <w:r>
        <w:rPr>
          <w:rFonts w:hint="eastAsia" w:ascii="宋体" w:hAnsi="宋体" w:eastAsia="宋体" w:cs="宋体"/>
          <w:sz w:val="21"/>
          <w:szCs w:val="21"/>
        </w:rPr>
        <w:t>试剂，则不会发生紫色反应</w:t>
      </w:r>
    </w:p>
    <w:p w14:paraId="5DF8BC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B．若A是淀粉溶液，B中加入碘</w:t>
      </w:r>
      <w:r>
        <w:rPr>
          <w:rFonts w:hint="eastAsia" w:ascii="宋体" w:hAnsi="宋体" w:eastAsia="宋体" w:cs="宋体"/>
          <w:sz w:val="21"/>
          <w:szCs w:val="21"/>
          <w:lang w:val="en-US" w:eastAsia="zh-CN"/>
        </w:rPr>
        <w:t>-</w:t>
      </w:r>
      <w:r>
        <w:rPr>
          <w:rFonts w:hint="eastAsia" w:ascii="宋体" w:hAnsi="宋体" w:eastAsia="宋体" w:cs="宋体"/>
          <w:sz w:val="21"/>
          <w:szCs w:val="21"/>
        </w:rPr>
        <w:t>碘化钾溶液，则A会变蓝</w:t>
      </w:r>
    </w:p>
    <w:p w14:paraId="789FC88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C．若A是葡萄糖溶液，则透析袋的体积会先增大后减小</w:t>
      </w:r>
    </w:p>
    <w:p w14:paraId="7565829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D．若A是质量分数为10%蔗糖溶液，B中加入质量分数为10%葡萄糖溶液，则透析袋体积不变</w:t>
      </w:r>
    </w:p>
    <w:p w14:paraId="04AA2C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5．ATP在生物体的生命活动中发挥着重要作用。下列有关ATP的叙述，错误的是</w:t>
      </w:r>
      <w:r>
        <w:rPr>
          <w:rFonts w:hint="eastAsia" w:ascii="宋体" w:hAnsi="宋体" w:eastAsia="宋体" w:cs="宋体"/>
          <w:sz w:val="21"/>
          <w:szCs w:val="21"/>
          <w:lang w:val="en-US" w:eastAsia="zh-CN"/>
        </w:rPr>
        <w:t xml:space="preserve"> </w:t>
      </w:r>
    </w:p>
    <w:p w14:paraId="18F943B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66432" behindDoc="0" locked="0" layoutInCell="1" allowOverlap="1">
            <wp:simplePos x="0" y="0"/>
            <wp:positionH relativeFrom="column">
              <wp:posOffset>4603750</wp:posOffset>
            </wp:positionH>
            <wp:positionV relativeFrom="paragraph">
              <wp:posOffset>130175</wp:posOffset>
            </wp:positionV>
            <wp:extent cx="1989455" cy="1370965"/>
            <wp:effectExtent l="0" t="0" r="4445" b="635"/>
            <wp:wrapSquare wrapText="bothSides"/>
            <wp:docPr id="100009" name="图片 100009" descr="@@@80fbd1e7a3a241eca1d6cbde93b65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0fbd1e7a3a241eca1d6cbde93b653ad"/>
                    <pic:cNvPicPr>
                      <a:picLocks noChangeAspect="1"/>
                    </pic:cNvPicPr>
                  </pic:nvPicPr>
                  <pic:blipFill>
                    <a:blip r:embed="rId8"/>
                    <a:stretch>
                      <a:fillRect/>
                    </a:stretch>
                  </pic:blipFill>
                  <pic:spPr>
                    <a:xfrm>
                      <a:off x="0" y="0"/>
                      <a:ext cx="1989455" cy="1370965"/>
                    </a:xfrm>
                    <a:prstGeom prst="rect">
                      <a:avLst/>
                    </a:prstGeom>
                  </pic:spPr>
                </pic:pic>
              </a:graphicData>
            </a:graphic>
          </wp:anchor>
        </w:drawing>
      </w:r>
      <w:r>
        <w:rPr>
          <w:rFonts w:hint="eastAsia" w:ascii="宋体" w:hAnsi="宋体" w:eastAsia="宋体" w:cs="宋体"/>
          <w:sz w:val="21"/>
          <w:szCs w:val="21"/>
        </w:rPr>
        <w:t>A．人体成熟的红细胞、蛙的红细胞、鸡的红细胞中均能合成ATP</w:t>
      </w:r>
    </w:p>
    <w:p w14:paraId="4F30C00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B．ATP中的“A”与DNA、RNA中的碱基“A”是同一物质</w:t>
      </w:r>
    </w:p>
    <w:p w14:paraId="5AAAD2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C．ATP是驱动细胞生命活动的直接能源物质、但在细胞中含量很少</w:t>
      </w:r>
    </w:p>
    <w:p w14:paraId="20C5DFF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D．ATP中的能量可以来源于光能、化学能，也可以转化为光能和化学能</w:t>
      </w:r>
    </w:p>
    <w:p w14:paraId="245E144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6．氧气可降低糖酵解（葡萄糖分解为丙酮酸的过程）产物的积累，</w:t>
      </w:r>
      <w:r>
        <w:rPr>
          <w:rFonts w:hint="eastAsia" w:ascii="宋体" w:hAnsi="宋体" w:eastAsia="宋体" w:cs="宋体"/>
          <w:sz w:val="21"/>
          <w:szCs w:val="21"/>
        </w:rPr>
        <w:object>
          <v:shape id="_x0000_i1025" o:spt="75" alt="eqId469d026f83aa3ed6b26da52bb746292c" type="#_x0000_t75" style="height:11.2pt;width:23.7pt;" o:ole="t" filled="f" o:preferrelative="t" stroked="f" coordsize="21600,21600">
            <v:path/>
            <v:fill on="f" focussize="0,0"/>
            <v:stroke on="f" joinstyle="miter"/>
            <v:imagedata r:id="rId10" o:title="eqId469d026f83aa3ed6b26da52bb746292c"/>
            <o:lock v:ext="edit" aspectratio="t"/>
            <w10:wrap type="none"/>
            <w10:anchorlock/>
          </v:shape>
          <o:OLEObject Type="Embed" ProgID="Equation.DSMT4" ShapeID="_x0000_i1025" DrawAspect="Content" ObjectID="_1468075725" r:id="rId9">
            <o:LockedField>false</o:LockedField>
          </o:OLEObject>
        </w:object>
      </w:r>
      <w:r>
        <w:rPr>
          <w:rFonts w:hint="eastAsia" w:ascii="宋体" w:hAnsi="宋体" w:eastAsia="宋体" w:cs="宋体"/>
          <w:sz w:val="21"/>
          <w:szCs w:val="21"/>
        </w:rPr>
        <w:t>可抑制糖酵解酶的活性，</w:t>
      </w:r>
      <w:r>
        <w:rPr>
          <w:rFonts w:hint="eastAsia" w:ascii="宋体" w:hAnsi="宋体" w:eastAsia="宋体" w:cs="宋体"/>
          <w:sz w:val="21"/>
          <w:szCs w:val="21"/>
        </w:rPr>
        <w:object>
          <v:shape id="_x0000_i1026" o:spt="75" alt="eqId5855999b6d0bea5227b752ba9de6afe3" type="#_x0000_t75" style="height:11.3pt;width:24.6pt;" o:ole="t" filled="f" o:preferrelative="t" stroked="f" coordsize="21600,21600">
            <v:path/>
            <v:fill on="f" focussize="0,0"/>
            <v:stroke on="f" joinstyle="miter"/>
            <v:imagedata r:id="rId12" o:title="eqId5855999b6d0bea5227b752ba9de6afe3"/>
            <o:lock v:ext="edit" aspectratio="t"/>
            <w10:wrap type="none"/>
            <w10:anchorlock/>
          </v:shape>
          <o:OLEObject Type="Embed" ProgID="Equation.DSMT4" ShapeID="_x0000_i1026" DrawAspect="Content" ObjectID="_1468075726" r:id="rId11">
            <o:LockedField>false</o:LockedField>
          </o:OLEObject>
        </w:object>
      </w:r>
      <w:r>
        <w:rPr>
          <w:rFonts w:hint="eastAsia" w:ascii="宋体" w:hAnsi="宋体" w:eastAsia="宋体" w:cs="宋体"/>
          <w:sz w:val="21"/>
          <w:szCs w:val="21"/>
        </w:rPr>
        <w:t xml:space="preserve"> 则会使糖酵解酶的活性增强。下图为糖酵解的部分过程及丙酮酸的运输途径。下列分析错误的是</w:t>
      </w:r>
      <w:r>
        <w:rPr>
          <w:rFonts w:hint="eastAsia" w:ascii="宋体" w:hAnsi="宋体" w:eastAsia="宋体" w:cs="宋体"/>
          <w:sz w:val="21"/>
          <w:szCs w:val="21"/>
          <w:lang w:val="en-US" w:eastAsia="zh-CN"/>
        </w:rPr>
        <w:t xml:space="preserve"> </w:t>
      </w:r>
    </w:p>
    <w:p w14:paraId="5905AEE5">
      <w:pPr>
        <w:keepNext w:val="0"/>
        <w:keepLines w:val="0"/>
        <w:pageBreakBefore w:val="0"/>
        <w:widowControl w:val="0"/>
        <w:numPr>
          <w:ilvl w:val="0"/>
          <w:numId w:val="3"/>
        </w:numPr>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所有生物的细胞中均可进行糖酵解过程</w:t>
      </w:r>
      <w:r>
        <w:rPr>
          <w:rFonts w:hint="eastAsia" w:ascii="宋体" w:hAnsi="宋体" w:eastAsia="宋体" w:cs="宋体"/>
          <w:sz w:val="21"/>
          <w:szCs w:val="21"/>
          <w:lang w:val="en-US" w:eastAsia="zh-CN"/>
        </w:rPr>
        <w:t xml:space="preserve">    </w:t>
      </w:r>
    </w:p>
    <w:p w14:paraId="69A99DB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B.</w:t>
      </w:r>
      <w:r>
        <w:rPr>
          <w:rFonts w:hint="eastAsia" w:ascii="宋体" w:hAnsi="宋体" w:eastAsia="宋体" w:cs="宋体"/>
          <w:sz w:val="21"/>
          <w:szCs w:val="21"/>
        </w:rPr>
        <w:t>细胞质基质中</w:t>
      </w:r>
      <w:r>
        <w:rPr>
          <w:rFonts w:hint="eastAsia" w:ascii="宋体" w:hAnsi="宋体" w:eastAsia="宋体" w:cs="宋体"/>
          <w:sz w:val="21"/>
          <w:szCs w:val="21"/>
        </w:rPr>
        <w:object>
          <v:shape id="_x0000_i1027" o:spt="75" alt="eqIdf902399fab0e13d796e7396a40092d38" type="#_x0000_t75" style="height:12.55pt;width:51pt;" o:ole="t" filled="f" o:preferrelative="t" stroked="f" coordsize="21600,21600">
            <v:path/>
            <v:fill on="f" focussize="0,0"/>
            <v:stroke on="f" joinstyle="miter"/>
            <v:imagedata r:id="rId14" o:title="eqIdf902399fab0e13d796e7396a40092d38"/>
            <o:lock v:ext="edit" aspectratio="t"/>
            <w10:wrap type="none"/>
            <w10:anchorlock/>
          </v:shape>
          <o:OLEObject Type="Embed" ProgID="Equation.DSMT4" ShapeID="_x0000_i1027" DrawAspect="Content" ObjectID="_1468075727" r:id="rId13">
            <o:LockedField>false</o:LockedField>
          </o:OLEObject>
        </w:object>
      </w:r>
      <w:r>
        <w:rPr>
          <w:rFonts w:hint="eastAsia" w:ascii="宋体" w:hAnsi="宋体" w:eastAsia="宋体" w:cs="宋体"/>
          <w:sz w:val="21"/>
          <w:szCs w:val="21"/>
        </w:rPr>
        <w:t>的值增大会降低糖酵解速率</w:t>
      </w:r>
    </w:p>
    <w:p w14:paraId="6C4CF84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C．丙酮酸通过线粒体内、外膜的方式不同与膜上蛋白质和磷脂有关</w:t>
      </w:r>
    </w:p>
    <w:p w14:paraId="38E1348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D．氧气可通过参与线粒体内膜上发生的反应来减少糖酵解产物的积累</w:t>
      </w:r>
    </w:p>
    <w:p w14:paraId="480E86A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7．下列实验操作能够达成所述目的的是</w:t>
      </w:r>
    </w:p>
    <w:p w14:paraId="42A7377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A．利用差速离心的方法，可分离获得黑藻叶肉细胞中的叶绿体和中心体</w:t>
      </w:r>
    </w:p>
    <w:p w14:paraId="46C235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B．用高浓度蔗糖溶液处理紫色洋葱鳞片叶外表皮细胞，可测得细胞液浓度</w:t>
      </w:r>
    </w:p>
    <w:p w14:paraId="4E610A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C．用无水乙醇提取新鲜绿叶中的色素进行纸层析，可分离出四种光合色素</w:t>
      </w:r>
    </w:p>
    <w:p w14:paraId="7EDCF73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D．将洋葱研磨液离心后保留沉淀物并加入冷酒精静置后，可收集到DNA</w:t>
      </w:r>
    </w:p>
    <w:p w14:paraId="642A744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8．细胞是一个有机体，会经历增殖、衰老、死亡等生命历程。下列有关细胞生命历程的叙述，正确的是</w:t>
      </w:r>
    </w:p>
    <w:p w14:paraId="02E4A47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A．有丝分裂前的间期，细胞表面积与体积之比增大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B．细胞衰老过程中，细胞中存在活性升高的酶</w:t>
      </w:r>
    </w:p>
    <w:p w14:paraId="094B4DA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C．细胞增殖和分化均会导致细胞数量增多</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D．细胞感染病毒后再被清除属于细胞坏死</w:t>
      </w:r>
    </w:p>
    <w:p w14:paraId="77E6AA4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trike w:val="0"/>
          <w:kern w:val="0"/>
          <w:sz w:val="21"/>
          <w:szCs w:val="21"/>
          <w:u w:val="none"/>
        </w:rPr>
        <w:drawing>
          <wp:anchor distT="0" distB="0" distL="114300" distR="114300" simplePos="0" relativeHeight="251661312" behindDoc="0" locked="0" layoutInCell="1" allowOverlap="1">
            <wp:simplePos x="0" y="0"/>
            <wp:positionH relativeFrom="column">
              <wp:posOffset>4859020</wp:posOffset>
            </wp:positionH>
            <wp:positionV relativeFrom="paragraph">
              <wp:posOffset>240665</wp:posOffset>
            </wp:positionV>
            <wp:extent cx="1407795" cy="918210"/>
            <wp:effectExtent l="0" t="0" r="1905" b="8890"/>
            <wp:wrapSquare wrapText="bothSides"/>
            <wp:docPr id="100011" name="图片 100011" descr="@@@c136c9a4-fb9f-4b45-a8dd-4cdc978b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136c9a4-fb9f-4b45-a8dd-4cdc978bc188"/>
                    <pic:cNvPicPr>
                      <a:picLocks noChangeAspect="1"/>
                    </pic:cNvPicPr>
                  </pic:nvPicPr>
                  <pic:blipFill>
                    <a:blip r:embed="rId15"/>
                    <a:stretch>
                      <a:fillRect/>
                    </a:stretch>
                  </pic:blipFill>
                  <pic:spPr>
                    <a:xfrm>
                      <a:off x="0" y="0"/>
                      <a:ext cx="1407795" cy="918210"/>
                    </a:xfrm>
                    <a:prstGeom prst="rect">
                      <a:avLst/>
                    </a:prstGeom>
                  </pic:spPr>
                </pic:pic>
              </a:graphicData>
            </a:graphic>
          </wp:anchor>
        </w:drawing>
      </w:r>
      <w:r>
        <w:rPr>
          <w:rFonts w:hint="eastAsia" w:ascii="宋体" w:hAnsi="宋体" w:eastAsia="宋体" w:cs="宋体"/>
          <w:sz w:val="21"/>
          <w:szCs w:val="21"/>
        </w:rPr>
        <w:t>9．细胞周期中存在一系列检验点，对其过程是否发生异常加以检测，部分检验点如图所示。只有当相应的过程正常完成，才能进入下一个阶段，下列选项中错误的是</w:t>
      </w:r>
      <w:r>
        <w:rPr>
          <w:rFonts w:hint="eastAsia" w:ascii="宋体" w:hAnsi="宋体" w:eastAsia="宋体" w:cs="宋体"/>
          <w:sz w:val="21"/>
          <w:szCs w:val="21"/>
          <w:lang w:val="en-US" w:eastAsia="zh-CN"/>
        </w:rPr>
        <w:t xml:space="preserve"> </w:t>
      </w:r>
    </w:p>
    <w:p w14:paraId="2F84A0A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trike w:val="0"/>
          <w:kern w:val="0"/>
          <w:sz w:val="21"/>
          <w:szCs w:val="21"/>
          <w:u w:val="none"/>
          <w:lang w:val="en-US" w:eastAsia="zh-CN"/>
        </w:rPr>
        <w:t xml:space="preserve">  </w:t>
      </w:r>
      <w:r>
        <w:rPr>
          <w:rFonts w:hint="eastAsia" w:ascii="宋体" w:hAnsi="宋体" w:eastAsia="宋体" w:cs="宋体"/>
          <w:sz w:val="21"/>
          <w:szCs w:val="21"/>
          <w:lang w:val="en-US" w:eastAsia="zh-CN"/>
        </w:rPr>
        <w:t>A.</w:t>
      </w:r>
      <w:r>
        <w:rPr>
          <w:rFonts w:hint="eastAsia" w:ascii="宋体" w:hAnsi="宋体" w:eastAsia="宋体" w:cs="宋体"/>
          <w:sz w:val="21"/>
          <w:szCs w:val="21"/>
        </w:rPr>
        <w:t>检验点1可检测是否有生长因子调控可通过</w:t>
      </w:r>
      <w:r>
        <w:rPr>
          <w:rFonts w:hint="eastAsia" w:ascii="宋体" w:hAnsi="宋体" w:eastAsia="宋体" w:cs="宋体"/>
          <w:sz w:val="21"/>
          <w:szCs w:val="21"/>
          <w:lang w:val="en-US" w:eastAsia="zh-CN"/>
        </w:rPr>
        <w:t xml:space="preserve">    </w:t>
      </w:r>
    </w:p>
    <w:p w14:paraId="0C640E4D">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B.</w:t>
      </w:r>
      <w:r>
        <w:rPr>
          <w:rFonts w:hint="eastAsia" w:ascii="宋体" w:hAnsi="宋体" w:eastAsia="宋体" w:cs="宋体"/>
          <w:sz w:val="21"/>
          <w:szCs w:val="21"/>
        </w:rPr>
        <w:t>检验点2可检测DNA复制是否受到损伤</w:t>
      </w:r>
    </w:p>
    <w:p w14:paraId="6FDDF8B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C.</w:t>
      </w:r>
      <w:r>
        <w:rPr>
          <w:rFonts w:hint="eastAsia" w:ascii="宋体" w:hAnsi="宋体" w:eastAsia="宋体" w:cs="宋体"/>
          <w:sz w:val="21"/>
          <w:szCs w:val="21"/>
        </w:rPr>
        <w:t>检验点3可检测细胞中合成的物质是否足够多</w:t>
      </w:r>
    </w:p>
    <w:p w14:paraId="3AC9E3AB">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D.</w:t>
      </w:r>
      <w:r>
        <w:rPr>
          <w:rFonts w:hint="eastAsia" w:ascii="宋体" w:hAnsi="宋体" w:eastAsia="宋体" w:cs="宋体"/>
          <w:sz w:val="21"/>
          <w:szCs w:val="21"/>
        </w:rPr>
        <w:t>检验点4检验点5的检测范围不包括染色体是否已经正确分离</w:t>
      </w:r>
    </w:p>
    <w:p w14:paraId="2680B35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10．图甲为某种二倍体生物细胞分裂过程中染色体数量变化曲线，图乙为该生物细胞分裂过程中每条染色体上DNA含量的变化曲线。下列叙述正确的是</w:t>
      </w:r>
      <w:r>
        <w:rPr>
          <w:rFonts w:hint="eastAsia" w:ascii="宋体" w:hAnsi="宋体" w:eastAsia="宋体" w:cs="宋体"/>
          <w:sz w:val="21"/>
          <w:szCs w:val="21"/>
          <w:lang w:val="en-US" w:eastAsia="zh-CN"/>
        </w:rPr>
        <w:t xml:space="preserve"> </w:t>
      </w:r>
    </w:p>
    <w:p w14:paraId="16CB032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308350" cy="1102360"/>
            <wp:effectExtent l="0" t="0" r="6350" b="2540"/>
            <wp:docPr id="100013" name="图片 100013" descr="@@@1db4b39b-9f0b-4e65-9872-5f5088e91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db4b39b-9f0b-4e65-9872-5f5088e914b1"/>
                    <pic:cNvPicPr>
                      <a:picLocks noChangeAspect="1"/>
                    </pic:cNvPicPr>
                  </pic:nvPicPr>
                  <pic:blipFill>
                    <a:blip r:embed="rId16"/>
                    <a:stretch>
                      <a:fillRect/>
                    </a:stretch>
                  </pic:blipFill>
                  <pic:spPr>
                    <a:xfrm>
                      <a:off x="0" y="0"/>
                      <a:ext cx="3308350" cy="1102360"/>
                    </a:xfrm>
                    <a:prstGeom prst="rect">
                      <a:avLst/>
                    </a:prstGeom>
                  </pic:spPr>
                </pic:pic>
              </a:graphicData>
            </a:graphic>
          </wp:inline>
        </w:drawing>
      </w:r>
    </w:p>
    <w:p w14:paraId="694DF0F0">
      <w:pPr>
        <w:keepNext w:val="0"/>
        <w:keepLines w:val="0"/>
        <w:pageBreakBefore w:val="0"/>
        <w:widowControl w:val="0"/>
        <w:numPr>
          <w:ilvl w:val="0"/>
          <w:numId w:val="4"/>
        </w:numPr>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图甲中②对应的时期和图乙中BC段对应的时期相同</w:t>
      </w:r>
    </w:p>
    <w:p w14:paraId="0DE6F6D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rPr>
        <w:t>B．图甲中④→⑤时期的变化可用图乙曲线中CD段来表示</w:t>
      </w:r>
    </w:p>
    <w:p w14:paraId="370CB38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C．图甲可以表示有丝分裂和减数分裂过程中的相关物质变化，图乙只能表示有丝分裂过程中的相关物质变化</w:t>
      </w:r>
    </w:p>
    <w:p w14:paraId="299D89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D．经过图乙的变化后细胞内核DNA含量不变</w:t>
      </w:r>
    </w:p>
    <w:p w14:paraId="64CF203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11．下列关于四分体的叙述，正确的是</w:t>
      </w:r>
    </w:p>
    <w:p w14:paraId="72E3A60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A．有丝分裂和减数分裂过程中都会出现四分体</w:t>
      </w:r>
      <w:r>
        <w:rPr>
          <w:rFonts w:hint="eastAsia" w:ascii="宋体" w:hAnsi="宋体" w:eastAsia="宋体" w:cs="宋体"/>
          <w:sz w:val="21"/>
          <w:szCs w:val="21"/>
          <w:lang w:val="en-US" w:eastAsia="zh-CN"/>
        </w:rPr>
        <w:t xml:space="preserve">    </w:t>
      </w:r>
    </w:p>
    <w:p w14:paraId="3209CC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B．一个四分体中含有四条染色体和四个DNA分子</w:t>
      </w:r>
    </w:p>
    <w:p w14:paraId="50F1FD2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C．次级精母细胞中的四分体数是初级精母细胞中的1/2</w:t>
      </w:r>
      <w:r>
        <w:rPr>
          <w:rFonts w:hint="eastAsia" w:ascii="宋体" w:hAnsi="宋体" w:eastAsia="宋体" w:cs="宋体"/>
          <w:sz w:val="21"/>
          <w:szCs w:val="21"/>
          <w:lang w:val="en-US" w:eastAsia="zh-CN"/>
        </w:rPr>
        <w:t xml:space="preserve"> </w:t>
      </w:r>
    </w:p>
    <w:p w14:paraId="35D4E1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D．人的初级精母细胞在减数分裂Ⅰ前期可形成23个四分体</w:t>
      </w:r>
    </w:p>
    <w:p w14:paraId="2D8314E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rPr>
        <w:t>12．下图是山核桃（2n=32）花粉母细胞减数分裂过程中不同时期的分裂图像，已知该山核桃的基因型为 AaBb，两对基因位于两对同源染色体上。相关叙述错误的是</w:t>
      </w:r>
      <w:r>
        <w:rPr>
          <w:rFonts w:hint="eastAsia" w:ascii="宋体" w:hAnsi="宋体" w:eastAsia="宋体" w:cs="宋体"/>
          <w:sz w:val="21"/>
          <w:szCs w:val="21"/>
          <w:lang w:val="en-US" w:eastAsia="zh-CN"/>
        </w:rPr>
        <w:t xml:space="preserve"> </w:t>
      </w:r>
    </w:p>
    <w:p w14:paraId="41C7DF9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881755" cy="1031875"/>
            <wp:effectExtent l="0" t="0" r="4445" b="9525"/>
            <wp:docPr id="100015" name="图片 100015" descr="@@@1a9dc2df-93a6-4355-8ae1-c75f0f598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a9dc2df-93a6-4355-8ae1-c75f0f598cea"/>
                    <pic:cNvPicPr>
                      <a:picLocks noChangeAspect="1"/>
                    </pic:cNvPicPr>
                  </pic:nvPicPr>
                  <pic:blipFill>
                    <a:blip r:embed="rId17"/>
                    <a:stretch>
                      <a:fillRect/>
                    </a:stretch>
                  </pic:blipFill>
                  <pic:spPr>
                    <a:xfrm>
                      <a:off x="0" y="0"/>
                      <a:ext cx="3881755" cy="1031875"/>
                    </a:xfrm>
                    <a:prstGeom prst="rect">
                      <a:avLst/>
                    </a:prstGeom>
                  </pic:spPr>
                </pic:pic>
              </a:graphicData>
            </a:graphic>
          </wp:inline>
        </w:drawing>
      </w:r>
    </w:p>
    <w:p w14:paraId="370C94B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A．甲图所示细胞处于减数分裂Ⅰ前期，同源染色体正在联会</w:t>
      </w:r>
    </w:p>
    <w:p w14:paraId="325124B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B．乙图所示细胞处于减数分裂Ⅰ后期，基因 A和B移向细胞同一极</w:t>
      </w:r>
    </w:p>
    <w:p w14:paraId="331DF5E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C．丙图所示细胞为次级精母细胞，两个细胞中均可能含有 A、a、B、b</w:t>
      </w:r>
    </w:p>
    <w:p w14:paraId="7D3F1F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D．丁图所示细胞处于减数分裂Ⅱ后期，细胞中不含姐妹染色单体</w:t>
      </w:r>
    </w:p>
    <w:p w14:paraId="583FFB5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细胞自噬是指细胞通过降解自身结构或物质使细胞存活的自我保护机制。当细胞面临代谢压力时，可降解自身大分子或细胞器为生存提供能量。下图表示细胞自噬的信号调控过程，AKT和mTor是两种关键蛋白激酶。下列说法正确的是（    ）</w:t>
      </w:r>
    </w:p>
    <w:p w14:paraId="2AA450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848735" cy="1550035"/>
            <wp:effectExtent l="0" t="0" r="12065" b="12065"/>
            <wp:docPr id="8" name="图片 8" descr="@@@07ed6298-5757-4e71-9821-4c1bfbd67b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ed6298-5757-4e71-9821-4c1bfbd67b0d"/>
                    <pic:cNvPicPr>
                      <a:picLocks noChangeAspect="1"/>
                    </pic:cNvPicPr>
                  </pic:nvPicPr>
                  <pic:blipFill>
                    <a:blip r:embed="rId18"/>
                    <a:stretch>
                      <a:fillRect/>
                    </a:stretch>
                  </pic:blipFill>
                  <pic:spPr>
                    <a:xfrm>
                      <a:off x="0" y="0"/>
                      <a:ext cx="3848735" cy="1550035"/>
                    </a:xfrm>
                    <a:prstGeom prst="rect">
                      <a:avLst/>
                    </a:prstGeom>
                  </pic:spPr>
                </pic:pic>
              </a:graphicData>
            </a:graphic>
          </wp:inline>
        </w:drawing>
      </w:r>
    </w:p>
    <w:p w14:paraId="75F6AB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A．图一中AKT被激活是胰岛素进入细胞中作用的结果</w:t>
      </w:r>
    </w:p>
    <w:p w14:paraId="63D12D9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B．细胞自噬过程与细胞中溶酶体产生的水解酶有关</w:t>
      </w:r>
    </w:p>
    <w:p w14:paraId="44EC206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C．细胞自噬可能是由基因决定的程序性死亡过程</w:t>
      </w:r>
    </w:p>
    <w:p w14:paraId="4CCFF45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D．图二可推测有些激烈的细胞自噬可能诱导细胞凋亡</w:t>
      </w:r>
    </w:p>
    <w:p w14:paraId="77021C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4152900</wp:posOffset>
            </wp:positionH>
            <wp:positionV relativeFrom="paragraph">
              <wp:posOffset>36830</wp:posOffset>
            </wp:positionV>
            <wp:extent cx="2352675" cy="1419225"/>
            <wp:effectExtent l="0" t="0" r="9525" b="3175"/>
            <wp:wrapSquare wrapText="bothSides"/>
            <wp:docPr id="9" name="图片 9" descr="@@@1e0f64103313421db87358dab3e17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e0f64103313421db87358dab3e17e83"/>
                    <pic:cNvPicPr>
                      <a:picLocks noChangeAspect="1"/>
                    </pic:cNvPicPr>
                  </pic:nvPicPr>
                  <pic:blipFill>
                    <a:blip r:embed="rId19"/>
                    <a:stretch>
                      <a:fillRect/>
                    </a:stretch>
                  </pic:blipFill>
                  <pic:spPr>
                    <a:xfrm>
                      <a:off x="0" y="0"/>
                      <a:ext cx="2352675" cy="1419225"/>
                    </a:xfrm>
                    <a:prstGeom prst="rect">
                      <a:avLst/>
                    </a:prstGeom>
                  </pic:spPr>
                </pic:pic>
              </a:graphicData>
            </a:graphic>
          </wp:anchor>
        </w:drawing>
      </w:r>
      <w:r>
        <w:rPr>
          <w:rFonts w:hint="eastAsia" w:ascii="宋体" w:hAnsi="宋体" w:eastAsia="宋体" w:cs="宋体"/>
          <w:sz w:val="21"/>
          <w:szCs w:val="21"/>
          <w:lang w:val="en-US" w:eastAsia="zh-CN"/>
        </w:rPr>
        <w:t>14</w:t>
      </w:r>
      <w:r>
        <w:rPr>
          <w:rFonts w:hint="eastAsia" w:ascii="宋体" w:hAnsi="宋体" w:eastAsia="宋体" w:cs="宋体"/>
          <w:sz w:val="21"/>
          <w:szCs w:val="21"/>
        </w:rPr>
        <w:t>．秀丽隐杆线虫的精细胞不含溶酶体，但成熟精子中的线粒体数量明显低于精细胞。我国科学家在秀丽隐杆线虫体内首次鉴定到一种能特异性包裹线粒体的细胞外囊泡，并命名为“线粒体囊”。研究表明，生殖腺内的蛋白酶可以作为发育信号，依赖细胞内的SPE-12和SPE-8等酶的作用，触发精细胞释放线粒体囊，过程如图所示。下列推测中不合理的是（　　）</w:t>
      </w:r>
    </w:p>
    <w:p w14:paraId="478AB77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A．精细胞中线粒体的清除过程中没有细胞自噬的参与</w:t>
      </w:r>
    </w:p>
    <w:p w14:paraId="67B708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B．蛋白酶和胞内酶SPE-12从合成到发挥作用经过的细胞器类型不同</w:t>
      </w:r>
    </w:p>
    <w:p w14:paraId="09FCD1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C．线粒体的数量可能和精子的运动能力与可育性有关</w:t>
      </w:r>
    </w:p>
    <w:p w14:paraId="2DBD02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D．蛋白质构成的细胞骨架可参与物质的定向运输</w:t>
      </w:r>
    </w:p>
    <w:p w14:paraId="00897B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浙江大学研究组发现，高等动物的体细胞在分裂时存在“分配不均”现象：DNA无损伤的染色体移向一个子代细胞甲，而DNA损伤的染色体都被“隔离”到另一个子代细胞乙中，并倾向于发生细胞周期阻滞或细胞凋亡。根据该发现，下列叙述错误的是（　　）</w:t>
      </w:r>
    </w:p>
    <w:p w14:paraId="4EAD84F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A．“分配不均”现象可以发生在有丝分裂过程中</w:t>
      </w:r>
    </w:p>
    <w:p w14:paraId="1CE0184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B．“分配不均”产生的健康细胞甲不能进入下一个分裂周期</w:t>
      </w:r>
    </w:p>
    <w:p w14:paraId="5621A2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C．年龄较大的动物体细胞中更容易发生“分配不均”现象</w:t>
      </w:r>
    </w:p>
    <w:p w14:paraId="76F580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b/>
          <w:bCs/>
          <w:color w:val="auto"/>
          <w:sz w:val="21"/>
          <w:szCs w:val="21"/>
        </w:rPr>
      </w:pPr>
      <w:r>
        <w:rPr>
          <w:rFonts w:hint="eastAsia" w:ascii="宋体" w:hAnsi="宋体" w:eastAsia="宋体" w:cs="宋体"/>
          <w:sz w:val="21"/>
          <w:szCs w:val="21"/>
        </w:rPr>
        <w:t>D．“分配不均”的现象有利于个体正常的生长发育</w:t>
      </w:r>
    </w:p>
    <w:p w14:paraId="4F345101">
      <w:pPr>
        <w:keepNext w:val="0"/>
        <w:keepLines w:val="0"/>
        <w:pageBreakBefore w:val="0"/>
        <w:widowControl w:val="0"/>
        <w:kinsoku/>
        <w:wordWrap/>
        <w:overflowPunct/>
        <w:topLinePunct w:val="0"/>
        <w:autoSpaceDE/>
        <w:autoSpaceDN/>
        <w:bidi w:val="0"/>
        <w:adjustRightInd/>
        <w:snapToGrid/>
        <w:spacing w:line="240" w:lineRule="auto"/>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二、多项选择题：本部分包括</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题，每题3分，共1</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分。每题有不止一个选项符合题意。每题全选对的得3分，选对但不全的得1分，错选或不答的得0分。</w:t>
      </w:r>
    </w:p>
    <w:p w14:paraId="25DA62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r>
        <w:rPr>
          <w:rFonts w:hint="eastAsia" w:ascii="宋体" w:hAnsi="宋体" w:eastAsia="宋体" w:cs="宋体"/>
          <w:sz w:val="21"/>
          <w:szCs w:val="21"/>
        </w:rPr>
        <w:t>．普洱茶需经高温杀青后进行堆堆发酵，堆堆发酵时茶叶中的蛋白质被黑曲霉蛋白酶降解，形成普洱茶独特的风味。研究人员为研究杀青温度和时长对黑曲霉蛋白酶的影响，在不同的温度条件下，分别对黑曲霉蛋白酶处理10min、60min、90min后，测定酶活力，结果如下图所示。下列叙述正确的是</w:t>
      </w:r>
      <w:r>
        <w:rPr>
          <w:rFonts w:hint="eastAsia" w:ascii="宋体" w:hAnsi="宋体" w:eastAsia="宋体" w:cs="宋体"/>
          <w:sz w:val="21"/>
          <w:szCs w:val="21"/>
          <w:lang w:val="en-US" w:eastAsia="zh-CN"/>
        </w:rPr>
        <w:t xml:space="preserve"> </w:t>
      </w:r>
    </w:p>
    <w:p w14:paraId="6742701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478F065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5D3446B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trike w:val="0"/>
          <w:kern w:val="0"/>
          <w:sz w:val="21"/>
          <w:szCs w:val="21"/>
          <w:u w:val="none"/>
        </w:rPr>
        <w:drawing>
          <wp:anchor distT="0" distB="0" distL="114300" distR="114300" simplePos="0" relativeHeight="251662336" behindDoc="0" locked="0" layoutInCell="1" allowOverlap="1">
            <wp:simplePos x="0" y="0"/>
            <wp:positionH relativeFrom="column">
              <wp:posOffset>1806575</wp:posOffset>
            </wp:positionH>
            <wp:positionV relativeFrom="paragraph">
              <wp:posOffset>-95250</wp:posOffset>
            </wp:positionV>
            <wp:extent cx="2310130" cy="1606550"/>
            <wp:effectExtent l="0" t="0" r="1270" b="6350"/>
            <wp:wrapSquare wrapText="bothSides"/>
            <wp:docPr id="100023" name="图片 100023" descr="@@@24e8bcba-a4f7-4160-ab55-844f7842e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4e8bcba-a4f7-4160-ab55-844f7842ec82"/>
                    <pic:cNvPicPr>
                      <a:picLocks noChangeAspect="1"/>
                    </pic:cNvPicPr>
                  </pic:nvPicPr>
                  <pic:blipFill>
                    <a:blip r:embed="rId20"/>
                    <a:stretch>
                      <a:fillRect/>
                    </a:stretch>
                  </pic:blipFill>
                  <pic:spPr>
                    <a:xfrm>
                      <a:off x="0" y="0"/>
                      <a:ext cx="2310130" cy="1606550"/>
                    </a:xfrm>
                    <a:prstGeom prst="rect">
                      <a:avLst/>
                    </a:prstGeom>
                  </pic:spPr>
                </pic:pic>
              </a:graphicData>
            </a:graphic>
          </wp:anchor>
        </w:drawing>
      </w:r>
    </w:p>
    <w:p w14:paraId="175600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59790D3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627F24A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78C5643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30F177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p>
    <w:p w14:paraId="42FA4BD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p>
    <w:p w14:paraId="60748C4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p>
    <w:p w14:paraId="5AF6245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A．蛋白酶活力的测定可以用单位时间单位体积中底物剩余量来表示</w:t>
      </w:r>
    </w:p>
    <w:p w14:paraId="3052A51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B．温度为40℃时，处理不同时间酶活力变化不大，最适合储存该酶</w:t>
      </w:r>
    </w:p>
    <w:p w14:paraId="692C12E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C．该酶在60℃下处理90min后，酶的空间结构发生变化，永久失活</w:t>
      </w:r>
    </w:p>
    <w:p w14:paraId="3FA9E2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D．为保证堆堆发酵效果，杀青温度不宜超过60℃，时长10min以内</w:t>
      </w:r>
    </w:p>
    <w:p w14:paraId="07F4CC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17</w:t>
      </w:r>
      <w:r>
        <w:rPr>
          <w:rFonts w:hint="eastAsia" w:ascii="宋体" w:hAnsi="宋体" w:eastAsia="宋体" w:cs="宋体"/>
          <w:sz w:val="21"/>
          <w:szCs w:val="21"/>
        </w:rPr>
        <w:t>．秸秆的纤维素经酶水解后可作为生产生物燃料乙醇的原料，利用纤维素水解液（含5%葡萄糖）可培养酵母菌。某兴趣小组探究酵母菌细胞呼吸方式的装置如图所示，下列叙述正确的是</w:t>
      </w:r>
      <w:r>
        <w:rPr>
          <w:rFonts w:hint="eastAsia" w:ascii="宋体" w:hAnsi="宋体" w:eastAsia="宋体" w:cs="宋体"/>
          <w:sz w:val="21"/>
          <w:szCs w:val="21"/>
          <w:lang w:val="en-US" w:eastAsia="zh-CN"/>
        </w:rPr>
        <w:t xml:space="preserve"> </w:t>
      </w:r>
    </w:p>
    <w:p w14:paraId="7E42523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327525" cy="1635125"/>
            <wp:effectExtent l="0" t="0" r="3175" b="317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21"/>
                    <a:stretch>
                      <a:fillRect/>
                    </a:stretch>
                  </pic:blipFill>
                  <pic:spPr>
                    <a:xfrm>
                      <a:off x="0" y="0"/>
                      <a:ext cx="4327525" cy="1635125"/>
                    </a:xfrm>
                    <a:prstGeom prst="rect">
                      <a:avLst/>
                    </a:prstGeom>
                  </pic:spPr>
                </pic:pic>
              </a:graphicData>
            </a:graphic>
          </wp:inline>
        </w:drawing>
      </w:r>
    </w:p>
    <w:p w14:paraId="17BB6947">
      <w:pPr>
        <w:keepNext w:val="0"/>
        <w:keepLines w:val="0"/>
        <w:pageBreakBefore w:val="0"/>
        <w:widowControl w:val="0"/>
        <w:numPr>
          <w:ilvl w:val="0"/>
          <w:numId w:val="5"/>
        </w:numPr>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酵母菌的有氧呼吸和无氧呼吸都会产生丙酮酸</w:t>
      </w:r>
    </w:p>
    <w:p w14:paraId="4FB2015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100"/>
        <w:jc w:val="left"/>
        <w:textAlignment w:val="center"/>
        <w:rPr>
          <w:rFonts w:hint="eastAsia" w:ascii="宋体" w:hAnsi="宋体" w:eastAsia="宋体" w:cs="宋体"/>
          <w:sz w:val="21"/>
          <w:szCs w:val="21"/>
        </w:rPr>
      </w:pPr>
      <w:r>
        <w:rPr>
          <w:rFonts w:hint="eastAsia" w:ascii="宋体" w:hAnsi="宋体" w:eastAsia="宋体" w:cs="宋体"/>
          <w:sz w:val="21"/>
          <w:szCs w:val="21"/>
        </w:rPr>
        <w:t>B．若a装置液滴不移动，b装置液滴右移，说明酵母菌仅进行无氧呼吸</w:t>
      </w:r>
    </w:p>
    <w:p w14:paraId="7261A7E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C．装置a和装置e中的NaOH溶液的作用是吸收CO</w:t>
      </w:r>
      <w:r>
        <w:rPr>
          <w:rFonts w:hint="eastAsia" w:ascii="宋体" w:hAnsi="宋体" w:eastAsia="宋体" w:cs="宋体"/>
          <w:sz w:val="21"/>
          <w:szCs w:val="21"/>
          <w:vertAlign w:val="subscript"/>
        </w:rPr>
        <w:t>2</w:t>
      </w:r>
    </w:p>
    <w:p w14:paraId="14951C8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D．根据是否产生CO</w:t>
      </w:r>
      <w:r>
        <w:rPr>
          <w:rFonts w:hint="eastAsia" w:ascii="宋体" w:hAnsi="宋体" w:eastAsia="宋体" w:cs="宋体"/>
          <w:sz w:val="21"/>
          <w:szCs w:val="21"/>
          <w:vertAlign w:val="subscript"/>
        </w:rPr>
        <w:t>2</w:t>
      </w:r>
      <w:r>
        <w:rPr>
          <w:rFonts w:hint="eastAsia" w:ascii="宋体" w:hAnsi="宋体" w:eastAsia="宋体" w:cs="宋体"/>
          <w:sz w:val="21"/>
          <w:szCs w:val="21"/>
        </w:rPr>
        <w:t>能判断细胞呼吸方式</w:t>
      </w:r>
    </w:p>
    <w:p w14:paraId="7523EF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r>
        <w:rPr>
          <w:rFonts w:hint="eastAsia" w:ascii="宋体" w:hAnsi="宋体" w:eastAsia="宋体" w:cs="宋体"/>
          <w:sz w:val="21"/>
          <w:szCs w:val="21"/>
        </w:rPr>
        <w:t>．龙血树在《本草纲目》中被誉为“活血圣药”，有消肿止痛、收敛止血的功效。图甲、乙为同一批龙血树分别在不同温度、光照强度下相关指标的变化曲线（其余条件均相同）（单位：mmol。cm</w:t>
      </w:r>
      <w:r>
        <w:rPr>
          <w:rFonts w:hint="eastAsia" w:ascii="宋体" w:hAnsi="宋体" w:eastAsia="宋体" w:cs="宋体"/>
          <w:sz w:val="21"/>
          <w:szCs w:val="21"/>
          <w:vertAlign w:val="superscript"/>
        </w:rPr>
        <w:t>-2.</w:t>
      </w:r>
      <w:r>
        <w:rPr>
          <w:rFonts w:hint="eastAsia" w:ascii="宋体" w:hAnsi="宋体" w:eastAsia="宋体" w:cs="宋体"/>
          <w:sz w:val="21"/>
          <w:szCs w:val="21"/>
        </w:rPr>
        <w:t>h</w:t>
      </w:r>
      <w:r>
        <w:rPr>
          <w:rFonts w:hint="eastAsia" w:ascii="宋体" w:hAnsi="宋体" w:eastAsia="宋体" w:cs="宋体"/>
          <w:sz w:val="21"/>
          <w:szCs w:val="21"/>
          <w:vertAlign w:val="superscript"/>
        </w:rPr>
        <w:t>-1</w:t>
      </w:r>
      <w:r>
        <w:rPr>
          <w:rFonts w:hint="eastAsia" w:ascii="宋体" w:hAnsi="宋体" w:eastAsia="宋体" w:cs="宋体"/>
          <w:sz w:val="21"/>
          <w:szCs w:val="21"/>
        </w:rPr>
        <w:t>下列说法错误的是</w:t>
      </w:r>
      <w:r>
        <w:rPr>
          <w:rFonts w:hint="eastAsia" w:ascii="宋体" w:hAnsi="宋体" w:eastAsia="宋体" w:cs="宋体"/>
          <w:sz w:val="21"/>
          <w:szCs w:val="21"/>
          <w:lang w:val="en-US" w:eastAsia="zh-CN"/>
        </w:rPr>
        <w:t xml:space="preserve"> </w:t>
      </w:r>
    </w:p>
    <w:p w14:paraId="2FD7A37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622040" cy="1365250"/>
            <wp:effectExtent l="0" t="0" r="10160" b="6350"/>
            <wp:docPr id="100027" name="图片 100027" descr="@@@3d8aabb7-1c4b-4295-9e96-30be12e9b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3d8aabb7-1c4b-4295-9e96-30be12e9b684"/>
                    <pic:cNvPicPr>
                      <a:picLocks noChangeAspect="1"/>
                    </pic:cNvPicPr>
                  </pic:nvPicPr>
                  <pic:blipFill>
                    <a:blip r:embed="rId22"/>
                    <a:stretch>
                      <a:fillRect/>
                    </a:stretch>
                  </pic:blipFill>
                  <pic:spPr>
                    <a:xfrm>
                      <a:off x="0" y="0"/>
                      <a:ext cx="3622040" cy="1365250"/>
                    </a:xfrm>
                    <a:prstGeom prst="rect">
                      <a:avLst/>
                    </a:prstGeom>
                  </pic:spPr>
                </pic:pic>
              </a:graphicData>
            </a:graphic>
          </wp:inline>
        </w:drawing>
      </w:r>
    </w:p>
    <w:p w14:paraId="121354C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A．据图甲分析，温度为30℃和40℃时，叶绿体消耗CO</w:t>
      </w:r>
      <w:r>
        <w:rPr>
          <w:rFonts w:hint="eastAsia" w:ascii="宋体" w:hAnsi="宋体" w:eastAsia="宋体" w:cs="宋体"/>
          <w:sz w:val="21"/>
          <w:szCs w:val="21"/>
          <w:vertAlign w:val="subscript"/>
        </w:rPr>
        <w:t>2</w:t>
      </w:r>
      <w:r>
        <w:rPr>
          <w:rFonts w:hint="eastAsia" w:ascii="宋体" w:hAnsi="宋体" w:eastAsia="宋体" w:cs="宋体"/>
          <w:sz w:val="21"/>
          <w:szCs w:val="21"/>
        </w:rPr>
        <w:t>的速率相等</w:t>
      </w:r>
    </w:p>
    <w:p w14:paraId="17AB8EA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B．图甲40℃条件下，若黑夜和白天时间相等，龙血树能正常生长</w:t>
      </w:r>
    </w:p>
    <w:p w14:paraId="4ACFADB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C．补充适量的矿质元素可能导致图乙中D 点左移</w:t>
      </w:r>
    </w:p>
    <w:p w14:paraId="5DE2ACF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D．若图乙是30℃下测得的结果，则图甲 A 点对应的光照强度为4klx</w:t>
      </w:r>
    </w:p>
    <w:p w14:paraId="4E39032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19</w:t>
      </w:r>
      <w:r>
        <w:rPr>
          <w:rFonts w:hint="eastAsia" w:ascii="宋体" w:hAnsi="宋体" w:eastAsia="宋体" w:cs="宋体"/>
          <w:sz w:val="21"/>
          <w:szCs w:val="21"/>
        </w:rPr>
        <w:t>．下图为东亚飞蝗（2n=23，XO♂）精原细胞的分裂中期（a~c，极面观）和后期（d~f）的显微照片。有关叙述错误的有</w:t>
      </w:r>
      <w:r>
        <w:rPr>
          <w:rFonts w:hint="eastAsia" w:ascii="宋体" w:hAnsi="宋体" w:eastAsia="宋体" w:cs="宋体"/>
          <w:sz w:val="21"/>
          <w:szCs w:val="21"/>
          <w:lang w:val="en-US" w:eastAsia="zh-CN"/>
        </w:rPr>
        <w:t xml:space="preserve"> </w:t>
      </w:r>
    </w:p>
    <w:p w14:paraId="4026CF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873115" cy="936625"/>
            <wp:effectExtent l="0" t="0" r="6985" b="3175"/>
            <wp:docPr id="100029" name="图片 100029" descr="@@@1768111b-c63a-44a4-8680-b88cf8c89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1768111b-c63a-44a4-8680-b88cf8c894b8"/>
                    <pic:cNvPicPr>
                      <a:picLocks noChangeAspect="1"/>
                    </pic:cNvPicPr>
                  </pic:nvPicPr>
                  <pic:blipFill>
                    <a:blip r:embed="rId23"/>
                    <a:stretch>
                      <a:fillRect/>
                    </a:stretch>
                  </pic:blipFill>
                  <pic:spPr>
                    <a:xfrm>
                      <a:off x="0" y="0"/>
                      <a:ext cx="5873115" cy="936625"/>
                    </a:xfrm>
                    <a:prstGeom prst="rect">
                      <a:avLst/>
                    </a:prstGeom>
                  </pic:spPr>
                </pic:pic>
              </a:graphicData>
            </a:graphic>
          </wp:inline>
        </w:drawing>
      </w:r>
    </w:p>
    <w:p w14:paraId="60D09FD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A．a和d表示有丝分裂，b、c、e和f表示减数分裂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B．减数分裂过程中X染色体上可观察到交叉现象</w:t>
      </w:r>
    </w:p>
    <w:p w14:paraId="493ECEE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C．染色单体形成于a或b的前一时期</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D．d图每个细胞中染色体数是f图每个细胞中的两倍</w:t>
      </w:r>
    </w:p>
    <w:p w14:paraId="718E3130">
      <w:pPr>
        <w:keepNext w:val="0"/>
        <w:keepLines w:val="0"/>
        <w:pageBreakBefore w:val="0"/>
        <w:widowControl w:val="0"/>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b/>
          <w:i w:val="0"/>
          <w:color w:val="000000"/>
          <w:sz w:val="21"/>
          <w:szCs w:val="21"/>
          <w:lang w:eastAsia="zh-CN"/>
        </w:rPr>
      </w:pPr>
      <w:r>
        <w:rPr>
          <w:rFonts w:hint="eastAsia" w:ascii="宋体" w:hAnsi="宋体" w:eastAsia="宋体" w:cs="宋体"/>
          <w:b/>
          <w:i w:val="0"/>
          <w:color w:val="000000"/>
          <w:sz w:val="21"/>
          <w:szCs w:val="21"/>
        </w:rPr>
        <w:t>三、非选择题</w:t>
      </w:r>
      <w:r>
        <w:rPr>
          <w:rFonts w:hint="eastAsia" w:ascii="宋体" w:hAnsi="宋体" w:eastAsia="宋体" w:cs="宋体"/>
          <w:b/>
          <w:i w:val="0"/>
          <w:color w:val="000000"/>
          <w:sz w:val="21"/>
          <w:szCs w:val="21"/>
          <w:lang w:eastAsia="zh-CN"/>
        </w:rPr>
        <w:t>（</w:t>
      </w:r>
      <w:r>
        <w:rPr>
          <w:rFonts w:hint="eastAsia" w:ascii="宋体" w:hAnsi="宋体" w:eastAsia="宋体" w:cs="宋体"/>
          <w:b/>
          <w:i w:val="0"/>
          <w:color w:val="000000"/>
          <w:sz w:val="21"/>
          <w:szCs w:val="21"/>
          <w:lang w:val="en-US" w:eastAsia="zh-CN"/>
        </w:rPr>
        <w:t>本部分共五道大题，合计58分</w:t>
      </w:r>
      <w:r>
        <w:rPr>
          <w:rFonts w:hint="eastAsia" w:ascii="宋体" w:hAnsi="宋体" w:eastAsia="宋体" w:cs="宋体"/>
          <w:b/>
          <w:i w:val="0"/>
          <w:color w:val="000000"/>
          <w:sz w:val="21"/>
          <w:szCs w:val="21"/>
          <w:lang w:eastAsia="zh-CN"/>
        </w:rPr>
        <w:t>）</w:t>
      </w:r>
    </w:p>
    <w:p w14:paraId="5AC9615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20(11分）</w:t>
      </w:r>
      <w:r>
        <w:rPr>
          <w:rFonts w:hint="eastAsia" w:ascii="宋体" w:hAnsi="宋体" w:eastAsia="宋体" w:cs="宋体"/>
          <w:sz w:val="21"/>
          <w:szCs w:val="21"/>
        </w:rPr>
        <w:t>．NAGase是催化几丁质降解过程中的一种关键酶，广泛存在于动物、植物、微生物中。研究发现一些糖类物质对NAGase催化活力有影响，如图1所示。请回答下列问题：</w:t>
      </w:r>
    </w:p>
    <w:p w14:paraId="093FB0D1">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anchor distT="0" distB="0" distL="114300" distR="114300" simplePos="0" relativeHeight="251663360" behindDoc="0" locked="0" layoutInCell="1" allowOverlap="1">
            <wp:simplePos x="0" y="0"/>
            <wp:positionH relativeFrom="column">
              <wp:posOffset>5232400</wp:posOffset>
            </wp:positionH>
            <wp:positionV relativeFrom="paragraph">
              <wp:posOffset>469900</wp:posOffset>
            </wp:positionV>
            <wp:extent cx="1123315" cy="1123315"/>
            <wp:effectExtent l="0" t="0" r="6985" b="6985"/>
            <wp:wrapSquare wrapText="bothSides"/>
            <wp:docPr id="2" name="图片 2" descr="@@@cdebc4dc-f294-4226-bb42-a4c83f78e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ebc4dc-f294-4226-bb42-a4c83f78ec19"/>
                    <pic:cNvPicPr>
                      <a:picLocks noChangeAspect="1"/>
                    </pic:cNvPicPr>
                  </pic:nvPicPr>
                  <pic:blipFill>
                    <a:blip r:embed="rId24"/>
                    <a:stretch>
                      <a:fillRect/>
                    </a:stretch>
                  </pic:blipFill>
                  <pic:spPr>
                    <a:xfrm>
                      <a:off x="0" y="0"/>
                      <a:ext cx="1123315" cy="1123315"/>
                    </a:xfrm>
                    <a:prstGeom prst="rect">
                      <a:avLst/>
                    </a:prstGeom>
                  </pic:spPr>
                </pic:pic>
              </a:graphicData>
            </a:graphic>
          </wp:anchor>
        </w:drawing>
      </w:r>
      <w:r>
        <w:rPr>
          <w:rFonts w:hint="eastAsia" w:ascii="宋体" w:hAnsi="宋体" w:eastAsia="宋体" w:cs="宋体"/>
          <w:strike w:val="0"/>
          <w:kern w:val="0"/>
          <w:sz w:val="21"/>
          <w:szCs w:val="21"/>
          <w:u w:val="none"/>
        </w:rPr>
        <w:drawing>
          <wp:inline distT="0" distB="0" distL="114300" distR="114300">
            <wp:extent cx="4884420" cy="1787525"/>
            <wp:effectExtent l="0" t="0" r="5080" b="3175"/>
            <wp:docPr id="1" name="图片 1" descr="@@@4d9916ac-d210-460a-88d3-8cd2e2cb5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d9916ac-d210-460a-88d3-8cd2e2cb5e38"/>
                    <pic:cNvPicPr>
                      <a:picLocks noChangeAspect="1"/>
                    </pic:cNvPicPr>
                  </pic:nvPicPr>
                  <pic:blipFill>
                    <a:blip r:embed="rId25"/>
                    <a:stretch>
                      <a:fillRect/>
                    </a:stretch>
                  </pic:blipFill>
                  <pic:spPr>
                    <a:xfrm>
                      <a:off x="0" y="0"/>
                      <a:ext cx="4884420" cy="1787525"/>
                    </a:xfrm>
                    <a:prstGeom prst="rect">
                      <a:avLst/>
                    </a:prstGeom>
                  </pic:spPr>
                </pic:pic>
              </a:graphicData>
            </a:graphic>
          </wp:inline>
        </w:drawing>
      </w:r>
    </w:p>
    <w:p w14:paraId="3ECAAA0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(1)以果糖、蔗糖、半乳糖和葡萄糖作为效应物，这四种糖对NAGase的催化活力均有</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（填“抑制”或“促进”）作用，其中影响该酶作用最强的是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5608FFB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某小组开展实验探讨这四种糖影响该酶催化活力的机制，图2是效应物影响酶催化活力的两种理论：模型A表示抑制剂与底物存在竞争关系，可以结合到酶的活性部位，并表现为可逆，但该结合不改变酶的空间结构；模型B表示抑制剂与底物没有竞争关系，而是结合到酶的其他部位，导致酶的空间结构发生不可逆变化。图3是依据这两种理论判断这四种糖降低NAGase活力类型的曲线图，其中曲线a表示不添加效应物时的正常反应速度。请根据图3简要写出探究实验的实验思路，并根据可能的实验结果推断相应的结论。实验组设计思路：参照对照组加入等量的底物和NAGase，加入一定量的</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后，</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2A10322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实验预期：若实验结果如曲线b，则为模型</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；若实验结果如曲线c，则为模型</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717534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(3)该小组还探究了温度影响酶促反应速率的作用机理，其作用机理可用</w:t>
      </w:r>
      <w:r>
        <w:rPr>
          <w:rFonts w:hint="eastAsia" w:ascii="宋体" w:hAnsi="宋体" w:eastAsia="宋体" w:cs="宋体"/>
          <w:sz w:val="21"/>
          <w:szCs w:val="21"/>
          <w:lang w:val="en-US" w:eastAsia="zh-CN"/>
        </w:rPr>
        <w:t>上</w:t>
      </w:r>
      <w:r>
        <w:rPr>
          <w:rFonts w:hint="eastAsia" w:ascii="宋体" w:hAnsi="宋体" w:eastAsia="宋体" w:cs="宋体"/>
          <w:sz w:val="21"/>
          <w:szCs w:val="21"/>
        </w:rPr>
        <w:t>图坐标曲线表示。其中a表示不同温度下底物分子具有的能量，b表示温度对酶活性的影响，c表示酶促反应速率与温度的关系。据图分析，处于曲线c中1、2位点酶分子活性是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（填“相同”或“不同”）的，酶促反应速率是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与</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共同作用的结果。</w:t>
      </w:r>
    </w:p>
    <w:p w14:paraId="0212CFC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(4)某同学为了验证酶的专一性，他选用了人的唾液淀粉酶、可溶性淀粉溶液、蔗糖溶液、碘液以及其他可能用到的器具来做实验。你觉得他</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（能/不能）得到预期的实验结果和结论？为什么？</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7390E1C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11分</w:t>
      </w:r>
      <w:r>
        <w:rPr>
          <w:rFonts w:hint="eastAsia" w:ascii="宋体" w:hAnsi="宋体" w:eastAsia="宋体" w:cs="宋体"/>
          <w:sz w:val="21"/>
          <w:szCs w:val="21"/>
          <w:lang w:eastAsia="zh-CN"/>
        </w:rPr>
        <w:t>）</w:t>
      </w:r>
      <w:r>
        <w:rPr>
          <w:rFonts w:hint="eastAsia" w:ascii="宋体" w:hAnsi="宋体" w:eastAsia="宋体" w:cs="宋体"/>
          <w:sz w:val="21"/>
          <w:szCs w:val="21"/>
        </w:rPr>
        <w:t>．部分厌氧菌缺乏处理氧自由基的酶，可进行不产氧光合作用，避免氧气产生的氧自由基对自身的伤害。下图1和图2是两种厌氧菌的光反应过程示意图，据图回答下列问题：</w:t>
      </w:r>
    </w:p>
    <w:p w14:paraId="302439D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770245" cy="1868170"/>
            <wp:effectExtent l="0" t="0" r="8255" b="11430"/>
            <wp:docPr id="100035" name="图片 100035" descr="@@@17e156c162ad4fd5890d2d291f5ef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17e156c162ad4fd5890d2d291f5ef6b7"/>
                    <pic:cNvPicPr>
                      <a:picLocks noChangeAspect="1"/>
                    </pic:cNvPicPr>
                  </pic:nvPicPr>
                  <pic:blipFill>
                    <a:blip r:embed="rId26"/>
                    <a:stretch>
                      <a:fillRect/>
                    </a:stretch>
                  </pic:blipFill>
                  <pic:spPr>
                    <a:xfrm>
                      <a:off x="0" y="0"/>
                      <a:ext cx="5770245" cy="1868170"/>
                    </a:xfrm>
                    <a:prstGeom prst="rect">
                      <a:avLst/>
                    </a:prstGeom>
                  </pic:spPr>
                </pic:pic>
              </a:graphicData>
            </a:graphic>
          </wp:inline>
        </w:drawing>
      </w:r>
    </w:p>
    <w:p w14:paraId="789988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(1)图中的光合片层功能上相当于高等植物的</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膜，菌绿素与</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共同组成复合体，</w:t>
      </w:r>
      <w:r>
        <w:rPr>
          <w:rFonts w:hint="eastAsia" w:ascii="宋体" w:hAnsi="宋体" w:eastAsia="宋体" w:cs="宋体"/>
          <w:sz w:val="21"/>
          <w:szCs w:val="21"/>
          <w:lang w:val="en-US" w:eastAsia="zh-CN"/>
        </w:rPr>
        <w:t>能够</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光能，高等植物中与菌绿素功能类似的物质是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4684F57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(2)图1中，ATP合酶以</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方式运输H</w:t>
      </w:r>
      <w:r>
        <w:rPr>
          <w:rFonts w:hint="eastAsia" w:ascii="宋体" w:hAnsi="宋体" w:eastAsia="宋体" w:cs="宋体"/>
          <w:sz w:val="21"/>
          <w:szCs w:val="21"/>
          <w:vertAlign w:val="superscript"/>
        </w:rPr>
        <w:t>+</w:t>
      </w:r>
      <w:r>
        <w:rPr>
          <w:rFonts w:hint="eastAsia" w:ascii="宋体" w:hAnsi="宋体" w:eastAsia="宋体" w:cs="宋体"/>
          <w:sz w:val="21"/>
          <w:szCs w:val="21"/>
        </w:rPr>
        <w:t>，并利用H</w:t>
      </w:r>
      <w:r>
        <w:rPr>
          <w:rFonts w:hint="eastAsia" w:ascii="宋体" w:hAnsi="宋体" w:eastAsia="宋体" w:cs="宋体"/>
          <w:sz w:val="21"/>
          <w:szCs w:val="21"/>
          <w:vertAlign w:val="superscript"/>
        </w:rPr>
        <w:t>+</w:t>
      </w:r>
      <w:r>
        <w:rPr>
          <w:rFonts w:hint="eastAsia" w:ascii="宋体" w:hAnsi="宋体" w:eastAsia="宋体" w:cs="宋体"/>
          <w:sz w:val="21"/>
          <w:szCs w:val="21"/>
        </w:rPr>
        <w:t>浓度差为能量合成ATP，H</w:t>
      </w:r>
      <w:r>
        <w:rPr>
          <w:rFonts w:hint="eastAsia" w:ascii="宋体" w:hAnsi="宋体" w:eastAsia="宋体" w:cs="宋体"/>
          <w:sz w:val="21"/>
          <w:szCs w:val="21"/>
          <w:vertAlign w:val="superscript"/>
        </w:rPr>
        <w:t>+</w:t>
      </w:r>
      <w:r>
        <w:rPr>
          <w:rFonts w:hint="eastAsia" w:ascii="宋体" w:hAnsi="宋体" w:eastAsia="宋体" w:cs="宋体"/>
          <w:sz w:val="21"/>
          <w:szCs w:val="21"/>
        </w:rPr>
        <w:t>浓度差形成的原因包括</w:t>
      </w:r>
    </w:p>
    <w:p w14:paraId="474A92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提供能量进行H</w:t>
      </w:r>
      <w:r>
        <w:rPr>
          <w:rFonts w:hint="eastAsia" w:ascii="宋体" w:hAnsi="宋体" w:eastAsia="宋体" w:cs="宋体"/>
          <w:sz w:val="21"/>
          <w:szCs w:val="21"/>
          <w:vertAlign w:val="superscript"/>
        </w:rPr>
        <w:t>+</w:t>
      </w:r>
      <w:r>
        <w:rPr>
          <w:rFonts w:hint="eastAsia" w:ascii="宋体" w:hAnsi="宋体" w:eastAsia="宋体" w:cs="宋体"/>
          <w:sz w:val="21"/>
          <w:szCs w:val="21"/>
        </w:rPr>
        <w:t>的跨膜运输，也包括</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b w:val="0"/>
          <w:bCs w:val="0"/>
          <w:sz w:val="21"/>
          <w:szCs w:val="21"/>
        </w:rPr>
        <w:t>。</w:t>
      </w:r>
    </w:p>
    <w:p w14:paraId="38EE908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(3)研究发现，绿硫细菌缺乏处理氧自由基的酶。从图1光反应过程看，与高等植物的光反应过程是主要的区别是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，这种区别对绿硫细菌的意义是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2E37B9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(4)分析图1和图2，绿硫细菌相比紫色非硫细菌在光反应上的优势是</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578DC4D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eastAsia="zh-CN"/>
        </w:rPr>
      </w:pPr>
      <w:r>
        <w:rPr>
          <w:rFonts w:hint="eastAsia" w:ascii="宋体" w:hAnsi="宋体" w:eastAsia="宋体" w:cs="宋体"/>
          <w:sz w:val="21"/>
          <w:szCs w:val="21"/>
        </w:rPr>
        <w:t>(5)绿硫细菌暗反应过程也不同于高等植物，为特殊的逆向TCA循环，如图3所示（图中省略了ADP、Pi等部分物质）。据图分析下列说法正确的有</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0C3196B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①绿硫细菌的光反应通过提供ATP和NADPH，为逆向TCA循环提供能量；</w:t>
      </w:r>
    </w:p>
    <w:p w14:paraId="23BF30D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②逆向TCA循环除了可以合成糖类外，还可以为绿硫细菌各种合成代谢提供原料；</w:t>
      </w:r>
    </w:p>
    <w:p w14:paraId="6821D0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③若向绿硫细菌培养基中添加</w:t>
      </w:r>
      <w:r>
        <w:rPr>
          <w:rFonts w:hint="eastAsia" w:ascii="宋体" w:hAnsi="宋体" w:eastAsia="宋体" w:cs="宋体"/>
          <w:sz w:val="21"/>
          <w:szCs w:val="21"/>
          <w:vertAlign w:val="superscript"/>
        </w:rPr>
        <w:t>14</w:t>
      </w:r>
      <w:r>
        <w:rPr>
          <w:rFonts w:hint="eastAsia" w:ascii="宋体" w:hAnsi="宋体" w:eastAsia="宋体" w:cs="宋体"/>
          <w:sz w:val="21"/>
          <w:szCs w:val="21"/>
        </w:rPr>
        <w:t>C标记的α-酮戊二酸，最先出现放射性的物质是琥珀酸（除α-酮戊二酸自身外）；</w:t>
      </w:r>
    </w:p>
    <w:p w14:paraId="6A1CAD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④在不干扰循环正常进行的情况下，绿硫细菌合成一分子己糖，至少需要消耗6分子CO</w:t>
      </w:r>
      <w:r>
        <w:rPr>
          <w:rFonts w:hint="eastAsia" w:ascii="宋体" w:hAnsi="宋体" w:eastAsia="宋体" w:cs="宋体"/>
          <w:sz w:val="21"/>
          <w:szCs w:val="21"/>
          <w:vertAlign w:val="subscript"/>
        </w:rPr>
        <w:t>2</w:t>
      </w:r>
    </w:p>
    <w:p w14:paraId="2D4D071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664585" cy="1927860"/>
            <wp:effectExtent l="0" t="0" r="5715" b="2540"/>
            <wp:docPr id="100037" name="图片 100037" descr="@@@af4bfe09ba4344aca8237864e6a01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f4bfe09ba4344aca8237864e6a01d13"/>
                    <pic:cNvPicPr>
                      <a:picLocks noChangeAspect="1"/>
                    </pic:cNvPicPr>
                  </pic:nvPicPr>
                  <pic:blipFill>
                    <a:blip r:embed="rId27"/>
                    <a:stretch>
                      <a:fillRect/>
                    </a:stretch>
                  </pic:blipFill>
                  <pic:spPr>
                    <a:xfrm>
                      <a:off x="0" y="0"/>
                      <a:ext cx="3664585" cy="1927860"/>
                    </a:xfrm>
                    <a:prstGeom prst="rect">
                      <a:avLst/>
                    </a:prstGeom>
                  </pic:spPr>
                </pic:pic>
              </a:graphicData>
            </a:graphic>
          </wp:inline>
        </w:drawing>
      </w:r>
    </w:p>
    <w:p w14:paraId="7CB71C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11分</w:t>
      </w:r>
      <w:r>
        <w:rPr>
          <w:rFonts w:hint="eastAsia" w:ascii="宋体" w:hAnsi="宋体" w:eastAsia="宋体" w:cs="宋体"/>
          <w:sz w:val="21"/>
          <w:szCs w:val="21"/>
          <w:lang w:eastAsia="zh-CN"/>
        </w:rPr>
        <w:t>）</w:t>
      </w:r>
      <w:r>
        <w:rPr>
          <w:rFonts w:hint="eastAsia" w:ascii="宋体" w:hAnsi="宋体" w:eastAsia="宋体" w:cs="宋体"/>
          <w:sz w:val="21"/>
          <w:szCs w:val="21"/>
        </w:rPr>
        <w:t>．</w:t>
      </w:r>
      <w:r>
        <w:rPr>
          <w:sz w:val="21"/>
          <w:szCs w:val="21"/>
        </w:rPr>
        <w:t>图1表示用不同颜色的荧光标记某雄性动物（2n=8）中两条染色体的着丝粒（分别用“●”和“○”表示），在荧光显微镜下观察到它们的移动路径如箭头所示；图2表示细胞分裂过程中每条染色体DNA含量变化图；图3表示减数分裂过程中细胞核内染色体数变化图；图4为减数分裂过程（甲~丁）中的染色体数、染色单体数和核DNA分子数的数量关系图。图5表示某哺乳动物的基因型为AaBb，某个卵原细胞进行减数分裂的过程，不考虑染色体互换，①②③代表相关过程，I~IV表示细胞。回答下列问题：</w:t>
      </w:r>
    </w:p>
    <w:p w14:paraId="3E83F2B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5276215" cy="2000885"/>
            <wp:effectExtent l="0" t="0" r="6985" b="5715"/>
            <wp:docPr id="10" name="图片 10" descr="@@@78dce40479ca46c58c858c56d48d5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8dce40479ca46c58c858c56d48d506e"/>
                    <pic:cNvPicPr>
                      <a:picLocks noChangeAspect="1"/>
                    </pic:cNvPicPr>
                  </pic:nvPicPr>
                  <pic:blipFill>
                    <a:blip r:embed="rId28"/>
                    <a:stretch>
                      <a:fillRect/>
                    </a:stretch>
                  </pic:blipFill>
                  <pic:spPr>
                    <a:xfrm>
                      <a:off x="0" y="0"/>
                      <a:ext cx="5276800" cy="2001250"/>
                    </a:xfrm>
                    <a:prstGeom prst="rect">
                      <a:avLst/>
                    </a:prstGeom>
                  </pic:spPr>
                </pic:pic>
              </a:graphicData>
            </a:graphic>
          </wp:inline>
        </w:drawing>
      </w:r>
    </w:p>
    <w:p w14:paraId="5145148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(1)图1中①→②过程发生在</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时期，同源染色体出现</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行为：细胞中③→④过程每条染色体含DNA含量相当于图2中</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段的变化。</w:t>
      </w:r>
    </w:p>
    <w:p w14:paraId="593258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(2)图2中A</w:t>
      </w:r>
      <w:r>
        <w:rPr>
          <w:sz w:val="21"/>
          <w:szCs w:val="21"/>
          <w:vertAlign w:val="subscript"/>
        </w:rPr>
        <w:t>1</w:t>
      </w:r>
      <w:r>
        <w:rPr>
          <w:sz w:val="21"/>
          <w:szCs w:val="21"/>
        </w:rPr>
        <w:t>B</w:t>
      </w:r>
      <w:r>
        <w:rPr>
          <w:sz w:val="21"/>
          <w:szCs w:val="21"/>
          <w:vertAlign w:val="subscript"/>
        </w:rPr>
        <w:t>1</w:t>
      </w:r>
      <w:r>
        <w:rPr>
          <w:sz w:val="21"/>
          <w:szCs w:val="21"/>
        </w:rPr>
        <w:t>段上升的原因是细胞内发生</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，若图2和图3表示同一个细胞分裂过程，则图2中发生C</w:t>
      </w:r>
      <w:r>
        <w:rPr>
          <w:sz w:val="21"/>
          <w:szCs w:val="21"/>
          <w:vertAlign w:val="subscript"/>
        </w:rPr>
        <w:t>1</w:t>
      </w:r>
      <w:r>
        <w:rPr>
          <w:sz w:val="21"/>
          <w:szCs w:val="21"/>
        </w:rPr>
        <w:t>D</w:t>
      </w:r>
      <w:r>
        <w:rPr>
          <w:sz w:val="21"/>
          <w:szCs w:val="21"/>
          <w:vertAlign w:val="subscript"/>
        </w:rPr>
        <w:t>1</w:t>
      </w:r>
      <w:r>
        <w:rPr>
          <w:sz w:val="21"/>
          <w:szCs w:val="21"/>
        </w:rPr>
        <w:t>段变化的原因与图3中</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段的变化原因相同。</w:t>
      </w:r>
    </w:p>
    <w:p w14:paraId="29D0966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(3)非同源染色体的自由组合发生在图4的</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时期（填甲、乙、丙、丁）；等位基因的分离发生在图5中的</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（填序号）过程中。</w:t>
      </w:r>
    </w:p>
    <w:p w14:paraId="7D0A4CD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(4)图5中细胞Ⅱ的名称为</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。细胞中可形成</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个四分体。若细胞Ⅲ的基因型是aaBB，则细胞IV的基因型是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p>
    <w:p w14:paraId="2EB182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宋体" w:hAnsi="宋体" w:cs="宋体" w:eastAsiaTheme="minorEastAsia"/>
          <w:sz w:val="21"/>
          <w:szCs w:val="21"/>
          <w:lang w:val="en-US" w:eastAsia="zh-CN"/>
        </w:rPr>
      </w:pPr>
      <w:r>
        <w:rPr>
          <w:sz w:val="21"/>
          <w:szCs w:val="21"/>
        </w:rPr>
        <w:t>(5)若细胞IV的基因型为ABb的原因可能是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r>
        <w:rPr>
          <w:rFonts w:hint="eastAsia"/>
          <w:sz w:val="21"/>
          <w:szCs w:val="21"/>
          <w:lang w:val="en-US" w:eastAsia="zh-CN"/>
        </w:rPr>
        <w:t xml:space="preserve">  </w:t>
      </w:r>
    </w:p>
    <w:p w14:paraId="19114B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hint="eastAsia" w:ascii="宋体" w:hAnsi="宋体" w:eastAsia="宋体" w:cs="宋体"/>
          <w:sz w:val="21"/>
          <w:szCs w:val="21"/>
          <w:lang w:val="en-US" w:eastAsia="zh-CN"/>
        </w:rPr>
        <w:t>23（14分）.Ⅰ</w:t>
      </w:r>
      <w:r>
        <w:rPr>
          <w:sz w:val="21"/>
          <w:szCs w:val="21"/>
        </w:rPr>
        <w:t>线粒体的功能由其中的约1 000种蛋白质来执行。下图是真核细胞中线粒体蛋白X从细胞质基质转运到线粒体基质的图解，导肽（一般含10～80个氨基酸残基）是该蛋白质一端的肽段，在引导蛋白质进入线粒体基质的过程中起到了重要的定位作用。</w:t>
      </w:r>
    </w:p>
    <w:p w14:paraId="53F2C0C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注：① Hsp：热休克蛋白，按照分子的大小分为Hsp 70，Hsp 60等。</w:t>
      </w:r>
    </w:p>
    <w:p w14:paraId="3520B55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drawing>
          <wp:inline distT="0" distB="0" distL="114300" distR="114300">
            <wp:extent cx="3226435" cy="2382520"/>
            <wp:effectExtent l="0" t="0" r="1206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3226435" cy="2382520"/>
                    </a:xfrm>
                    <a:prstGeom prst="rect">
                      <a:avLst/>
                    </a:prstGeom>
                  </pic:spPr>
                </pic:pic>
              </a:graphicData>
            </a:graphic>
          </wp:inline>
        </w:drawing>
      </w:r>
      <w:r>
        <w:rPr>
          <w:sz w:val="21"/>
          <w:szCs w:val="21"/>
        </w:rPr>
        <w:t xml:space="preserve"> </w:t>
      </w:r>
    </w:p>
    <w:p w14:paraId="5FE53AD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（1）组成线粒体前体蛋白X的肽链中，N端特指的是含有游离的—NH</w:t>
      </w:r>
      <w:r>
        <w:rPr>
          <w:sz w:val="21"/>
          <w:szCs w:val="21"/>
          <w:vertAlign w:val="subscript"/>
        </w:rPr>
        <w:t>2</w:t>
      </w:r>
      <w:r>
        <w:rPr>
          <w:sz w:val="21"/>
          <w:szCs w:val="21"/>
        </w:rPr>
        <w:t>一端，则肽链的另外一端应该含有的化学基团是</w:t>
      </w:r>
      <w:r>
        <w:rPr>
          <w:rFonts w:ascii="Times New Roman" w:hAnsi="Times New Roman" w:eastAsia="Times New Roman" w:cs="Times New Roman"/>
          <w:b w:val="0"/>
          <w:sz w:val="21"/>
          <w:szCs w:val="21"/>
          <w:u w:val="single"/>
        </w:rPr>
        <w:t xml:space="preserve">                     </w:t>
      </w:r>
      <w:r>
        <w:rPr>
          <w:sz w:val="21"/>
          <w:szCs w:val="21"/>
        </w:rPr>
        <w:t>。</w:t>
      </w:r>
    </w:p>
    <w:p w14:paraId="3F0F858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（2）线粒体前体蛋白X是由细胞结构中</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内的基因控制合成，合成部位是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。据图可知热休克蛋白的作用是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p>
    <w:p w14:paraId="7AEDA8D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（3）据研究，线粒体内的DNA也参与线粒体中许多酶复合物的生物合成，由此可见线粒体属于</w:t>
      </w:r>
      <w:r>
        <w:rPr>
          <w:rFonts w:ascii="Times New Roman" w:hAnsi="Times New Roman" w:eastAsia="Times New Roman" w:cs="Times New Roman"/>
          <w:b w:val="0"/>
          <w:sz w:val="21"/>
          <w:szCs w:val="21"/>
          <w:u w:val="single"/>
        </w:rPr>
        <w:t xml:space="preserve">      </w:t>
      </w:r>
      <w:r>
        <w:rPr>
          <w:sz w:val="21"/>
          <w:szCs w:val="21"/>
        </w:rPr>
        <w:t>（填“自主性”“半自主性”或“无自主性”）细胞器。</w:t>
      </w:r>
    </w:p>
    <w:p w14:paraId="12E5FF1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kern w:val="0"/>
          <w:sz w:val="21"/>
          <w:szCs w:val="21"/>
        </w:rPr>
      </w:pPr>
      <w:r>
        <w:rPr>
          <w:sz w:val="21"/>
          <w:szCs w:val="21"/>
        </w:rPr>
        <w:t>（4） 高等哺乳动物进行受精作用时，受精卵中的线粒体几乎全部来自</w:t>
      </w:r>
      <w:r>
        <w:rPr>
          <w:rFonts w:ascii="Times New Roman" w:hAnsi="Times New Roman" w:eastAsia="Times New Roman" w:cs="Times New Roman"/>
          <w:b w:val="0"/>
          <w:sz w:val="21"/>
          <w:szCs w:val="21"/>
          <w:u w:val="single"/>
        </w:rPr>
        <w:t xml:space="preserve">            </w:t>
      </w:r>
      <w:r>
        <w:rPr>
          <w:sz w:val="21"/>
          <w:szCs w:val="21"/>
        </w:rPr>
        <w:t>，不考虑基因突变、细胞器衰老等因素，在受精作用前后，同一线粒体中的蛋白质组成</w:t>
      </w:r>
      <w:r>
        <w:rPr>
          <w:rFonts w:ascii="Times New Roman" w:hAnsi="Times New Roman" w:eastAsia="Times New Roman" w:cs="Times New Roman"/>
          <w:b w:val="0"/>
          <w:sz w:val="21"/>
          <w:szCs w:val="21"/>
          <w:u w:val="single"/>
        </w:rPr>
        <w:t xml:space="preserve">        </w:t>
      </w:r>
      <w:r>
        <w:rPr>
          <w:sz w:val="21"/>
          <w:szCs w:val="21"/>
        </w:rPr>
        <w:t>（填“可能”或“不可能”）有差异，其原因是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p>
    <w:p w14:paraId="1DA3F4C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hint="eastAsia" w:ascii="宋体" w:hAnsi="宋体" w:eastAsia="宋体" w:cs="宋体"/>
          <w:kern w:val="0"/>
          <w:sz w:val="21"/>
          <w:szCs w:val="21"/>
        </w:rPr>
        <w:t>Ⅱ</w:t>
      </w:r>
      <w:r>
        <w:rPr>
          <w:rFonts w:hint="eastAsia" w:ascii="宋体" w:hAnsi="宋体" w:eastAsia="宋体" w:cs="宋体"/>
          <w:kern w:val="0"/>
          <w:sz w:val="21"/>
          <w:szCs w:val="21"/>
          <w:lang w:val="en-US" w:eastAsia="zh-CN"/>
        </w:rPr>
        <w:t>.</w:t>
      </w:r>
      <w:r>
        <w:rPr>
          <w:sz w:val="21"/>
          <w:szCs w:val="21"/>
        </w:rPr>
        <w:t>溶酶体的形成过程复杂，需要多种结构参与。在内质网的核糖体上合成溶酶体酶前体，经内质网加工后进入高尔基体cis膜囊，在其中磷酸化后形成甘露糖-6-磷酸（M6P），转移至高尔基体TGN膜，该膜上存在M6P的受体；正常情况下，TGN膜上M6P的受体与M6P结合后包裹进入膜内，最后继而通过运输小泡，再系列过程形成前溶酶体以及溶酶体；在前溶酶体的酸性环境中，M6P受体与M6P分离，并返回高尔基体。其部分过程如图所示。</w:t>
      </w:r>
    </w:p>
    <w:p w14:paraId="46A552A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rFonts w:ascii="Times New Roman" w:hAnsi="Times New Roman" w:eastAsia="Times New Roman" w:cs="Times New Roman"/>
          <w:strike w:val="0"/>
          <w:kern w:val="0"/>
          <w:sz w:val="21"/>
          <w:szCs w:val="21"/>
          <w:u w:val="none"/>
        </w:rPr>
        <w:drawing>
          <wp:inline distT="0" distB="0" distL="114300" distR="114300">
            <wp:extent cx="3175635" cy="1752600"/>
            <wp:effectExtent l="0" t="0" r="12065" b="0"/>
            <wp:docPr id="12" name="图片 12" descr="@@@a7efcc8b-b8ee-4a85-b926-056d5b5ab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7efcc8b-b8ee-4a85-b926-056d5b5ab024"/>
                    <pic:cNvPicPr>
                      <a:picLocks noChangeAspect="1"/>
                    </pic:cNvPicPr>
                  </pic:nvPicPr>
                  <pic:blipFill>
                    <a:blip r:embed="rId30"/>
                    <a:stretch>
                      <a:fillRect/>
                    </a:stretch>
                  </pic:blipFill>
                  <pic:spPr>
                    <a:xfrm>
                      <a:off x="0" y="0"/>
                      <a:ext cx="3175635" cy="1752600"/>
                    </a:xfrm>
                    <a:prstGeom prst="rect">
                      <a:avLst/>
                    </a:prstGeom>
                  </pic:spPr>
                </pic:pic>
              </a:graphicData>
            </a:graphic>
          </wp:inline>
        </w:drawing>
      </w:r>
    </w:p>
    <w:p w14:paraId="67C3B77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回答下列问题。</w:t>
      </w:r>
    </w:p>
    <w:p w14:paraId="7AF9739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(1)溶酶体是一种单层膜的细胞器，主要存在于</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（选填“植物”或“动物”）细胞中，其合成过程中需要</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（答出3点即可）等多种结构参与。</w:t>
      </w:r>
    </w:p>
    <w:p w14:paraId="7A94A3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(2)M6P受体还有少量存在质膜上，其意义是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p>
    <w:p w14:paraId="3BCDC4F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21"/>
          <w:szCs w:val="21"/>
        </w:rPr>
      </w:pPr>
      <w:r>
        <w:rPr>
          <w:sz w:val="21"/>
          <w:szCs w:val="21"/>
        </w:rPr>
        <w:t>(3)由图可知，高尔基体产生囊泡的一侧膜上主要加工</w:t>
      </w:r>
      <w:r>
        <w:rPr>
          <w:rFonts w:ascii="Times New Roman" w:hAnsi="Times New Roman" w:eastAsia="Times New Roman" w:cs="Times New Roman"/>
          <w:b w:val="0"/>
          <w:sz w:val="21"/>
          <w:szCs w:val="21"/>
          <w:u w:val="single"/>
        </w:rPr>
        <w:t xml:space="preserve">      </w:t>
      </w:r>
      <w:r>
        <w:rPr>
          <w:sz w:val="21"/>
          <w:szCs w:val="21"/>
        </w:rPr>
        <w:t>；另一侧存在M6P受体蛋白，接收来自cis膜囊磷酸化的溶酶体酶。高尔基体cis膜囊对溶酶体酶磷酸化的意义是</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w:t>
      </w:r>
    </w:p>
    <w:p w14:paraId="2A9A123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ascii="宋体" w:hAnsi="宋体" w:eastAsia="宋体" w:cs="宋体"/>
          <w:sz w:val="21"/>
          <w:szCs w:val="21"/>
        </w:rPr>
      </w:pPr>
      <w:r>
        <w:rPr>
          <w:sz w:val="21"/>
          <w:szCs w:val="21"/>
        </w:rPr>
        <w:t>(4)与前溶酶体相比，高尔基体的PH</w:t>
      </w:r>
      <w:r>
        <w:rPr>
          <w:rFonts w:ascii="Times New Roman" w:hAnsi="Times New Roman" w:eastAsia="Times New Roman" w:cs="Times New Roman"/>
          <w:b w:val="0"/>
          <w:sz w:val="21"/>
          <w:szCs w:val="21"/>
          <w:u w:val="single"/>
        </w:rPr>
        <w:t xml:space="preserve">  </w:t>
      </w:r>
      <w:r>
        <w:rPr>
          <w:rFonts w:hint="eastAsia" w:ascii="Times New Roman" w:hAnsi="Times New Roman" w:eastAsia="宋体" w:cs="Times New Roman"/>
          <w:b w:val="0"/>
          <w:sz w:val="21"/>
          <w:szCs w:val="21"/>
          <w:u w:val="single"/>
          <w:lang w:val="en-US" w:eastAsia="zh-CN"/>
        </w:rPr>
        <w:t xml:space="preserve">      </w:t>
      </w:r>
      <w:r>
        <w:rPr>
          <w:rFonts w:ascii="Times New Roman" w:hAnsi="Times New Roman" w:eastAsia="Times New Roman" w:cs="Times New Roman"/>
          <w:b w:val="0"/>
          <w:sz w:val="21"/>
          <w:szCs w:val="21"/>
          <w:u w:val="single"/>
        </w:rPr>
        <w:t xml:space="preserve">    </w:t>
      </w:r>
      <w:r>
        <w:rPr>
          <w:sz w:val="21"/>
          <w:szCs w:val="21"/>
        </w:rPr>
        <w:t>（选填“大于”“小于”或“等于”）前溶酶体。</w:t>
      </w:r>
    </w:p>
    <w:p w14:paraId="3B015BE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11分</w:t>
      </w:r>
      <w:r>
        <w:rPr>
          <w:rFonts w:hint="eastAsia" w:ascii="宋体" w:hAnsi="宋体" w:eastAsia="宋体" w:cs="宋体"/>
          <w:sz w:val="21"/>
          <w:szCs w:val="21"/>
          <w:lang w:eastAsia="zh-CN"/>
        </w:rPr>
        <w:t>）</w:t>
      </w:r>
      <w:r>
        <w:rPr>
          <w:rFonts w:hint="eastAsia" w:ascii="宋体" w:hAnsi="宋体" w:eastAsia="宋体" w:cs="宋体"/>
          <w:sz w:val="21"/>
          <w:szCs w:val="21"/>
        </w:rPr>
        <w:t>．α-环糊精是食品、医药等常用原料。α-环糊精葡萄糖糖基转移酶（cgt）生产α、β和γ环糊精的混合物，分离纯化十分不便。cgt在芽孢杆菌中的产量较低，诱变效果不佳。cgt的372位天冬氨酸和89位酪氨酸是酶与底物作用的关键位点，江南大学一实验室将它们分别替换为赖氨酸和精氨酸后，形成的重组cgt 催化特异性提高了27倍。请回答下列问题。</w:t>
      </w:r>
    </w:p>
    <w:p w14:paraId="43D0E37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2458085" cy="2371725"/>
            <wp:effectExtent l="0" t="0" r="5715" b="3175"/>
            <wp:docPr id="100041" name="图片 100041" descr="@@@491fdf4b-0157-4502-bdd7-8998fd89f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91fdf4b-0157-4502-bdd7-8998fd89fabc"/>
                    <pic:cNvPicPr>
                      <a:picLocks noChangeAspect="1"/>
                    </pic:cNvPicPr>
                  </pic:nvPicPr>
                  <pic:blipFill>
                    <a:blip r:embed="rId31"/>
                    <a:stretch>
                      <a:fillRect/>
                    </a:stretch>
                  </pic:blipFill>
                  <pic:spPr>
                    <a:xfrm>
                      <a:off x="0" y="0"/>
                      <a:ext cx="2458085" cy="2371725"/>
                    </a:xfrm>
                    <a:prstGeom prst="rect">
                      <a:avLst/>
                    </a:prstGeom>
                  </pic:spPr>
                </pic:pic>
              </a:graphicData>
            </a:graphic>
          </wp:inline>
        </w:drawing>
      </w:r>
    </w:p>
    <w:p w14:paraId="7E5C640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(1)蛋白质工程的第一步通常是确定预期的</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。重叠PCR是常用的DNA定点突变技术，其原理如图所示。与细胞内的DNA复制相比，PCR不需要用到</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酶。要完成两处位点的突变，至少要设计</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种引物。</w:t>
      </w:r>
    </w:p>
    <w:p w14:paraId="442213A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(2)下图是该酶编码链的部分序列，请你设计替换372位天冬氨酸（密码子：GAU、GAC）到赖氨酸（密码子：AAA、AAG）的引物FP2和RP1中三个连续碱基，分别为</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p>
    <w:p w14:paraId="165182D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4551680" cy="760095"/>
            <wp:effectExtent l="0" t="0" r="7620" b="1905"/>
            <wp:docPr id="100043" name="图片 100043" descr="@@@367926a0-ea11-4367-9c23-0adbc589f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367926a0-ea11-4367-9c23-0adbc589f514"/>
                    <pic:cNvPicPr>
                      <a:picLocks noChangeAspect="1"/>
                    </pic:cNvPicPr>
                  </pic:nvPicPr>
                  <pic:blipFill>
                    <a:blip r:embed="rId32"/>
                    <a:stretch>
                      <a:fillRect/>
                    </a:stretch>
                  </pic:blipFill>
                  <pic:spPr>
                    <a:xfrm>
                      <a:off x="0" y="0"/>
                      <a:ext cx="4551680" cy="760095"/>
                    </a:xfrm>
                    <a:prstGeom prst="rect">
                      <a:avLst/>
                    </a:prstGeom>
                  </pic:spPr>
                </pic:pic>
              </a:graphicData>
            </a:graphic>
          </wp:inline>
        </w:drawing>
      </w:r>
    </w:p>
    <w:p w14:paraId="548151D7">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rPr>
      </w:pPr>
      <w:r>
        <w:rPr>
          <w:rFonts w:hint="eastAsia" w:ascii="宋体" w:hAnsi="宋体" w:eastAsia="宋体" w:cs="宋体"/>
          <w:sz w:val="21"/>
          <w:szCs w:val="21"/>
        </w:rPr>
        <w:t>用大肠杆菌大量生产重组cgt需要解决酶的分泌问题。重组cgt位于双突变载体（简称Ｔ载体）上，研究人员将重组cgt基因与pET-20b（+）载体（简称p载体）上的pelB信号肽序列连接，构成重组载体cgt-p，该过程如图所示。</w:t>
      </w:r>
      <w:r>
        <w:rPr>
          <w:rFonts w:hint="eastAsia" w:ascii="宋体" w:hAnsi="宋体" w:eastAsia="宋体" w:cs="宋体"/>
          <w:sz w:val="21"/>
          <w:szCs w:val="21"/>
          <w:lang w:val="en-US" w:eastAsia="zh-CN"/>
        </w:rPr>
        <w:t>为提高效率，最好</w:t>
      </w:r>
      <w:r>
        <w:rPr>
          <w:rFonts w:hint="eastAsia" w:ascii="宋体" w:hAnsi="宋体" w:eastAsia="宋体" w:cs="宋体"/>
          <w:sz w:val="21"/>
          <w:szCs w:val="21"/>
        </w:rPr>
        <w:t>选用</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对T载体酶切处理，用</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对p载体进行酶切处理，并用</w:t>
      </w:r>
      <w:r>
        <w:rPr>
          <w:rFonts w:hint="eastAsia" w:ascii="宋体" w:hAnsi="宋体" w:eastAsia="宋体" w:cs="宋体"/>
          <w:b w:val="0"/>
          <w:sz w:val="21"/>
          <w:szCs w:val="21"/>
          <w:u w:val="single"/>
        </w:rPr>
        <w:t xml:space="preserve">   </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酶构建重组载体cgt-p，导入目的工程菌。培养基中除基本营养外，还需加入</w:t>
      </w:r>
      <w:r>
        <w:rPr>
          <w:rFonts w:hint="eastAsia" w:ascii="宋体" w:hAnsi="宋体" w:eastAsia="宋体" w:cs="宋体"/>
          <w:b w:val="0"/>
          <w:sz w:val="21"/>
          <w:szCs w:val="21"/>
          <w:u w:val="single"/>
          <w:lang w:val="en-US" w:eastAsia="zh-CN"/>
        </w:rPr>
        <w:t xml:space="preserve">         </w:t>
      </w:r>
      <w:r>
        <w:rPr>
          <w:rFonts w:hint="eastAsia" w:ascii="宋体" w:hAnsi="宋体" w:eastAsia="宋体" w:cs="宋体"/>
          <w:b w:val="0"/>
          <w:sz w:val="21"/>
          <w:szCs w:val="21"/>
          <w:u w:val="single"/>
        </w:rPr>
        <w:t xml:space="preserve">  </w:t>
      </w:r>
      <w:r>
        <w:rPr>
          <w:rFonts w:hint="eastAsia" w:ascii="宋体" w:hAnsi="宋体" w:eastAsia="宋体" w:cs="宋体"/>
          <w:sz w:val="21"/>
          <w:szCs w:val="21"/>
        </w:rPr>
        <w:t>完成筛选。</w:t>
      </w:r>
    </w:p>
    <w:p w14:paraId="0291F1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jc w:val="left"/>
        <w:textAlignment w:val="center"/>
        <w:rPr>
          <w:rFonts w:hint="eastAsia" w:ascii="宋体" w:hAnsi="宋体" w:eastAsia="宋体" w:cs="宋体"/>
          <w:sz w:val="21"/>
          <w:szCs w:val="21"/>
          <w:lang w:val="en-US" w:eastAsia="zh-CN"/>
        </w:rPr>
      </w:pPr>
      <w:r>
        <w:rPr>
          <w:rFonts w:hint="eastAsia" w:ascii="宋体" w:hAnsi="宋体" w:eastAsia="宋体" w:cs="宋体"/>
          <w:strike w:val="0"/>
          <w:kern w:val="0"/>
          <w:sz w:val="21"/>
          <w:szCs w:val="21"/>
          <w:u w:val="none"/>
        </w:rPr>
        <w:drawing>
          <wp:inline distT="0" distB="0" distL="114300" distR="114300">
            <wp:extent cx="4998085" cy="2477135"/>
            <wp:effectExtent l="0" t="0" r="5715" b="12065"/>
            <wp:docPr id="100045" name="图片 100045" descr="@@@3613c139-459b-41cb-b6d7-52008eae2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613c139-459b-41cb-b6d7-52008eae2bdd"/>
                    <pic:cNvPicPr>
                      <a:picLocks noChangeAspect="1"/>
                    </pic:cNvPicPr>
                  </pic:nvPicPr>
                  <pic:blipFill>
                    <a:blip r:embed="rId33"/>
                    <a:stretch>
                      <a:fillRect/>
                    </a:stretch>
                  </pic:blipFill>
                  <pic:spPr>
                    <a:xfrm>
                      <a:off x="0" y="0"/>
                      <a:ext cx="4998085" cy="2477135"/>
                    </a:xfrm>
                    <a:prstGeom prst="rect">
                      <a:avLst/>
                    </a:prstGeom>
                  </pic:spPr>
                </pic:pic>
              </a:graphicData>
            </a:graphic>
          </wp:inline>
        </w:drawing>
      </w:r>
    </w:p>
    <w:p w14:paraId="069F63E9">
      <w:pPr>
        <w:keepNext w:val="0"/>
        <w:keepLines w:val="0"/>
        <w:pageBreakBefore w:val="0"/>
        <w:widowControl w:val="0"/>
        <w:kinsoku/>
        <w:wordWrap/>
        <w:overflowPunct/>
        <w:topLinePunct w:val="0"/>
        <w:autoSpaceDE/>
        <w:autoSpaceDN/>
        <w:bidi w:val="0"/>
        <w:adjustRightInd/>
        <w:snapToGrid/>
        <w:spacing w:line="240" w:lineRule="auto"/>
        <w:ind w:left="0"/>
        <w:jc w:val="left"/>
        <w:textAlignment w:val="center"/>
        <w:rPr>
          <w:rFonts w:hint="default" w:ascii="Times New Roman" w:hAnsi="Times New Roman" w:eastAsia="宋体" w:cs="Times New Roman"/>
          <w:b/>
          <w:i w:val="0"/>
          <w:color w:val="000000"/>
          <w:sz w:val="21"/>
          <w:szCs w:val="21"/>
          <w:lang w:eastAsia="zh-CN"/>
        </w:rPr>
      </w:pPr>
    </w:p>
    <w:p w14:paraId="0519C146">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62E3824E">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6B12AACF">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6C5014CD">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2DA04D8A">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12B1365D">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59BCBA03">
      <w:pPr>
        <w:keepNext w:val="0"/>
        <w:keepLines w:val="0"/>
        <w:pageBreakBefore w:val="0"/>
        <w:widowControl w:val="0"/>
        <w:kinsoku/>
        <w:wordWrap/>
        <w:overflowPunct/>
        <w:topLinePunct w:val="0"/>
        <w:autoSpaceDE/>
        <w:autoSpaceDN/>
        <w:bidi w:val="0"/>
        <w:adjustRightInd/>
        <w:snapToGrid/>
        <w:spacing w:line="240" w:lineRule="auto"/>
        <w:jc w:val="both"/>
        <w:rPr>
          <w:rFonts w:hint="eastAsia" w:ascii="Times New Roman" w:hAnsi="Times New Roman" w:eastAsia="宋体" w:cs="Times New Roman"/>
          <w:b/>
          <w:bCs/>
          <w:color w:val="auto"/>
          <w:sz w:val="21"/>
          <w:szCs w:val="21"/>
        </w:rPr>
      </w:pPr>
    </w:p>
    <w:p w14:paraId="719C273F">
      <w:pPr>
        <w:keepNext w:val="0"/>
        <w:keepLines w:val="0"/>
        <w:pageBreakBefore w:val="0"/>
        <w:widowControl w:val="0"/>
        <w:kinsoku/>
        <w:wordWrap/>
        <w:overflowPunct/>
        <w:topLinePunct w:val="0"/>
        <w:autoSpaceDE/>
        <w:autoSpaceDN/>
        <w:bidi w:val="0"/>
        <w:adjustRightInd/>
        <w:snapToGrid/>
        <w:spacing w:line="312" w:lineRule="auto"/>
        <w:jc w:val="center"/>
        <w:rPr>
          <w:rFonts w:hint="eastAsia" w:ascii="黑体" w:hAnsi="黑体" w:eastAsia="黑体" w:cs="黑体"/>
          <w:sz w:val="28"/>
          <w:szCs w:val="28"/>
          <w:lang w:val="en-US" w:eastAsia="zh-CN"/>
        </w:rPr>
      </w:pPr>
      <w:r>
        <w:rPr>
          <w:rFonts w:hint="eastAsia" w:ascii="黑体" w:hAnsi="黑体" w:eastAsia="黑体" w:cs="黑体"/>
          <w:sz w:val="28"/>
          <w:szCs w:val="28"/>
        </w:rPr>
        <w:t>江苏省仪征中学</w:t>
      </w:r>
      <w:r>
        <w:rPr>
          <w:rFonts w:hint="eastAsia" w:ascii="黑体" w:hAnsi="黑体" w:eastAsia="黑体" w:cs="黑体"/>
          <w:sz w:val="28"/>
          <w:szCs w:val="28"/>
          <w:lang w:val="en-US" w:eastAsia="zh-CN"/>
        </w:rPr>
        <w:t>2026届高三暑假生物学科检测试卷一</w:t>
      </w:r>
    </w:p>
    <w:p w14:paraId="48CCE137">
      <w:pPr>
        <w:keepNext w:val="0"/>
        <w:keepLines w:val="0"/>
        <w:pageBreakBefore w:val="0"/>
        <w:widowControl w:val="0"/>
        <w:kinsoku/>
        <w:wordWrap/>
        <w:overflowPunct/>
        <w:topLinePunct w:val="0"/>
        <w:autoSpaceDE/>
        <w:autoSpaceDN/>
        <w:bidi w:val="0"/>
        <w:adjustRightInd/>
        <w:snapToGrid/>
        <w:spacing w:line="312"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参考答案</w:t>
      </w:r>
    </w:p>
    <w:p w14:paraId="2B8A85D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i w:val="0"/>
          <w:color w:val="000000"/>
          <w:sz w:val="24"/>
          <w:szCs w:val="24"/>
          <w:lang w:val="en-US" w:eastAsia="zh-CN"/>
        </w:rPr>
      </w:pPr>
      <w:r>
        <w:rPr>
          <w:rFonts w:hint="default" w:ascii="Times New Roman" w:hAnsi="Times New Roman" w:eastAsia="宋体" w:cs="Times New Roman"/>
          <w:b w:val="0"/>
          <w:bCs/>
          <w:i w:val="0"/>
          <w:color w:val="000000"/>
          <w:sz w:val="24"/>
          <w:szCs w:val="24"/>
          <w:lang w:val="en-US" w:eastAsia="zh-CN"/>
        </w:rPr>
        <w:t>1-5：DCA</w:t>
      </w:r>
      <w:bookmarkStart w:id="0" w:name="_GoBack"/>
      <w:r>
        <w:rPr>
          <w:rFonts w:hint="eastAsia" w:ascii="Times New Roman" w:hAnsi="Times New Roman" w:eastAsia="宋体" w:cs="Times New Roman"/>
          <w:b w:val="0"/>
          <w:bCs/>
          <w:i w:val="0"/>
          <w:color w:val="000000"/>
          <w:sz w:val="24"/>
          <w:szCs w:val="24"/>
          <w:lang w:val="en-US" w:eastAsia="zh-CN"/>
        </w:rPr>
        <w:t>D</w:t>
      </w:r>
      <w:r>
        <w:rPr>
          <w:rFonts w:hint="default" w:ascii="Times New Roman" w:hAnsi="Times New Roman" w:eastAsia="宋体" w:cs="Times New Roman"/>
          <w:b w:val="0"/>
          <w:bCs/>
          <w:i w:val="0"/>
          <w:color w:val="000000"/>
          <w:sz w:val="24"/>
          <w:szCs w:val="24"/>
          <w:lang w:val="en-US" w:eastAsia="zh-CN"/>
        </w:rPr>
        <w:t xml:space="preserve">B </w:t>
      </w:r>
      <w:bookmarkEnd w:id="0"/>
      <w:r>
        <w:rPr>
          <w:rFonts w:hint="default" w:ascii="Times New Roman" w:hAnsi="Times New Roman" w:eastAsia="宋体" w:cs="Times New Roman"/>
          <w:b w:val="0"/>
          <w:bCs/>
          <w:i w:val="0"/>
          <w:color w:val="000000"/>
          <w:sz w:val="24"/>
          <w:szCs w:val="24"/>
          <w:lang w:val="en-US" w:eastAsia="zh-CN"/>
        </w:rPr>
        <w:t xml:space="preserve"> </w:t>
      </w:r>
      <w:r>
        <w:rPr>
          <w:rFonts w:hint="eastAsia" w:cs="Times New Roman"/>
          <w:b w:val="0"/>
          <w:bCs/>
          <w:i w:val="0"/>
          <w:color w:val="000000"/>
          <w:sz w:val="24"/>
          <w:szCs w:val="24"/>
          <w:lang w:val="en-US" w:eastAsia="zh-CN"/>
        </w:rPr>
        <w:t xml:space="preserve"> </w:t>
      </w:r>
      <w:r>
        <w:rPr>
          <w:rFonts w:hint="default" w:ascii="Times New Roman" w:hAnsi="Times New Roman" w:eastAsia="宋体" w:cs="Times New Roman"/>
          <w:b w:val="0"/>
          <w:bCs/>
          <w:i w:val="0"/>
          <w:color w:val="000000"/>
          <w:sz w:val="24"/>
          <w:szCs w:val="24"/>
          <w:lang w:val="en-US" w:eastAsia="zh-CN"/>
        </w:rPr>
        <w:t xml:space="preserve"> 6-10:CCBDB  </w:t>
      </w:r>
      <w:r>
        <w:rPr>
          <w:rFonts w:hint="eastAsia" w:cs="Times New Roman"/>
          <w:b w:val="0"/>
          <w:bCs/>
          <w:i w:val="0"/>
          <w:color w:val="000000"/>
          <w:sz w:val="24"/>
          <w:szCs w:val="24"/>
          <w:lang w:val="en-US" w:eastAsia="zh-CN"/>
        </w:rPr>
        <w:t xml:space="preserve">  </w:t>
      </w:r>
      <w:r>
        <w:rPr>
          <w:rFonts w:hint="default" w:ascii="Times New Roman" w:hAnsi="Times New Roman" w:eastAsia="宋体" w:cs="Times New Roman"/>
          <w:b w:val="0"/>
          <w:bCs/>
          <w:i w:val="0"/>
          <w:color w:val="000000"/>
          <w:sz w:val="24"/>
          <w:szCs w:val="24"/>
          <w:lang w:val="en-US" w:eastAsia="zh-CN"/>
        </w:rPr>
        <w:t xml:space="preserve"> 11-15:DB</w:t>
      </w:r>
      <w:r>
        <w:rPr>
          <w:rFonts w:hint="eastAsia" w:ascii="Times New Roman" w:hAnsi="Times New Roman" w:eastAsia="宋体" w:cs="Times New Roman"/>
          <w:b w:val="0"/>
          <w:bCs/>
          <w:i w:val="0"/>
          <w:color w:val="000000"/>
          <w:sz w:val="24"/>
          <w:szCs w:val="24"/>
          <w:lang w:val="en-US" w:eastAsia="zh-CN"/>
        </w:rPr>
        <w:t>DAB</w:t>
      </w:r>
    </w:p>
    <w:p w14:paraId="6A4490A8">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i w:val="0"/>
          <w:color w:val="000000"/>
          <w:sz w:val="24"/>
          <w:szCs w:val="24"/>
          <w:lang w:val="en-US" w:eastAsia="zh-CN"/>
        </w:rPr>
      </w:pPr>
      <w:r>
        <w:rPr>
          <w:rFonts w:hint="eastAsia" w:ascii="Times New Roman" w:hAnsi="Times New Roman" w:eastAsia="宋体" w:cs="Times New Roman"/>
          <w:b w:val="0"/>
          <w:bCs/>
          <w:i w:val="0"/>
          <w:color w:val="000000"/>
          <w:sz w:val="24"/>
          <w:szCs w:val="24"/>
          <w:lang w:val="en-US" w:eastAsia="zh-CN"/>
        </w:rPr>
        <w:t>16</w:t>
      </w:r>
      <w:r>
        <w:rPr>
          <w:rFonts w:hint="default" w:ascii="Times New Roman" w:hAnsi="Times New Roman" w:eastAsia="宋体" w:cs="Times New Roman"/>
          <w:b w:val="0"/>
          <w:bCs/>
          <w:i w:val="0"/>
          <w:color w:val="000000"/>
          <w:sz w:val="24"/>
          <w:szCs w:val="24"/>
          <w:lang w:val="en-US" w:eastAsia="zh-CN"/>
        </w:rPr>
        <w:t xml:space="preserve">:ACD    </w:t>
      </w:r>
      <w:r>
        <w:rPr>
          <w:rFonts w:hint="eastAsia" w:ascii="Times New Roman" w:hAnsi="Times New Roman" w:eastAsia="宋体" w:cs="Times New Roman"/>
          <w:b w:val="0"/>
          <w:bCs/>
          <w:i w:val="0"/>
          <w:color w:val="000000"/>
          <w:sz w:val="24"/>
          <w:szCs w:val="24"/>
          <w:lang w:val="en-US" w:eastAsia="zh-CN"/>
        </w:rPr>
        <w:t>17</w:t>
      </w:r>
      <w:r>
        <w:rPr>
          <w:rFonts w:hint="default" w:ascii="Times New Roman" w:hAnsi="Times New Roman" w:eastAsia="宋体" w:cs="Times New Roman"/>
          <w:b w:val="0"/>
          <w:bCs/>
          <w:i w:val="0"/>
          <w:color w:val="000000"/>
          <w:sz w:val="24"/>
          <w:szCs w:val="24"/>
          <w:lang w:val="en-US" w:eastAsia="zh-CN"/>
        </w:rPr>
        <w:t xml:space="preserve">:ABC    </w:t>
      </w:r>
      <w:r>
        <w:rPr>
          <w:rFonts w:hint="eastAsia" w:ascii="Times New Roman" w:hAnsi="Times New Roman" w:eastAsia="宋体" w:cs="Times New Roman"/>
          <w:b w:val="0"/>
          <w:bCs/>
          <w:i w:val="0"/>
          <w:color w:val="000000"/>
          <w:sz w:val="24"/>
          <w:szCs w:val="24"/>
          <w:lang w:val="en-US" w:eastAsia="zh-CN"/>
        </w:rPr>
        <w:t>18</w:t>
      </w:r>
      <w:r>
        <w:rPr>
          <w:rFonts w:hint="default" w:ascii="Times New Roman" w:hAnsi="Times New Roman" w:eastAsia="宋体" w:cs="Times New Roman"/>
          <w:b w:val="0"/>
          <w:bCs/>
          <w:i w:val="0"/>
          <w:color w:val="000000"/>
          <w:sz w:val="24"/>
          <w:szCs w:val="24"/>
          <w:lang w:val="en-US" w:eastAsia="zh-CN"/>
        </w:rPr>
        <w:t xml:space="preserve">:BD     </w:t>
      </w:r>
      <w:r>
        <w:rPr>
          <w:rFonts w:hint="eastAsia" w:ascii="Times New Roman" w:hAnsi="Times New Roman" w:eastAsia="宋体" w:cs="Times New Roman"/>
          <w:b w:val="0"/>
          <w:bCs/>
          <w:i w:val="0"/>
          <w:color w:val="000000"/>
          <w:sz w:val="24"/>
          <w:szCs w:val="24"/>
          <w:lang w:val="en-US" w:eastAsia="zh-CN"/>
        </w:rPr>
        <w:t>19</w:t>
      </w:r>
      <w:r>
        <w:rPr>
          <w:rFonts w:hint="default" w:ascii="Times New Roman" w:hAnsi="Times New Roman" w:eastAsia="宋体" w:cs="Times New Roman"/>
          <w:b w:val="0"/>
          <w:bCs/>
          <w:i w:val="0"/>
          <w:color w:val="000000"/>
          <w:sz w:val="24"/>
          <w:szCs w:val="24"/>
          <w:lang w:val="en-US" w:eastAsia="zh-CN"/>
        </w:rPr>
        <w:t xml:space="preserve">:BC     </w:t>
      </w:r>
    </w:p>
    <w:p w14:paraId="0D600496">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rPr>
      </w:pPr>
      <w:r>
        <w:rPr>
          <w:rFonts w:hint="eastAsia" w:ascii="Times New Roman" w:hAnsi="Times New Roman" w:eastAsia="宋体" w:cs="Times New Roman"/>
          <w:b w:val="0"/>
          <w:bCs/>
          <w:sz w:val="24"/>
          <w:szCs w:val="24"/>
          <w:lang w:val="en-US" w:eastAsia="zh-CN"/>
        </w:rPr>
        <w:t>20</w:t>
      </w:r>
      <w:r>
        <w:rPr>
          <w:rFonts w:hint="default" w:ascii="Times New Roman" w:hAnsi="Times New Roman" w:eastAsia="宋体" w:cs="Times New Roman"/>
          <w:b w:val="0"/>
          <w:bCs/>
          <w:sz w:val="24"/>
          <w:szCs w:val="24"/>
        </w:rPr>
        <w:t>．(1)  抑制     葡萄糖</w:t>
      </w:r>
    </w:p>
    <w:p w14:paraId="3A620E57">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 效应物     持续增加底物浓度，检测反应速度是否能恢复到正常反应速度    A   B</w:t>
      </w:r>
    </w:p>
    <w:p w14:paraId="249C94A5">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  不同     底物分子的能量     酶活性</w:t>
      </w:r>
    </w:p>
    <w:p w14:paraId="4971058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 xml:space="preserve">(4)  不能     因为碘液无法检测蔗糖是否被催化     </w:t>
      </w:r>
    </w:p>
    <w:p w14:paraId="6A73E74A">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w:t>
      </w:r>
      <w:r>
        <w:rPr>
          <w:rFonts w:hint="eastAsia" w:ascii="Times New Roman" w:hAnsi="Times New Roman" w:eastAsia="宋体" w:cs="Times New Roman"/>
          <w:b w:val="0"/>
          <w:bCs/>
          <w:sz w:val="24"/>
          <w:szCs w:val="24"/>
          <w:lang w:val="en-US" w:eastAsia="zh-CN"/>
        </w:rPr>
        <w:t>1</w:t>
      </w:r>
      <w:r>
        <w:rPr>
          <w:rFonts w:hint="default" w:ascii="Times New Roman" w:hAnsi="Times New Roman" w:eastAsia="宋体" w:cs="Times New Roman"/>
          <w:b w:val="0"/>
          <w:bCs/>
          <w:sz w:val="24"/>
          <w:szCs w:val="24"/>
        </w:rPr>
        <w:t xml:space="preserve">．(1)  类囊体     蛋白质（或酶） </w:t>
      </w:r>
      <w:r>
        <w:rPr>
          <w:rFonts w:hint="default" w:ascii="Times New Roman" w:hAnsi="Times New Roman" w:eastAsia="宋体" w:cs="Times New Roman"/>
          <w:b w:val="0"/>
          <w:bCs/>
          <w:color w:val="auto"/>
          <w:sz w:val="24"/>
          <w:szCs w:val="24"/>
          <w:u w:val="none"/>
        </w:rPr>
        <w:t xml:space="preserve">  吸收、传递与转化</w:t>
      </w:r>
      <w:r>
        <w:rPr>
          <w:rFonts w:hint="default" w:ascii="Times New Roman" w:hAnsi="Times New Roman" w:eastAsia="宋体" w:cs="Times New Roman"/>
          <w:b w:val="0"/>
          <w:bCs/>
          <w:color w:val="auto"/>
          <w:sz w:val="24"/>
          <w:szCs w:val="24"/>
          <w:u w:val="none"/>
          <w:lang w:val="en-US" w:eastAsia="zh-CN"/>
        </w:rPr>
        <w:t xml:space="preserve">   </w:t>
      </w:r>
      <w:r>
        <w:rPr>
          <w:rFonts w:hint="default" w:ascii="Times New Roman" w:hAnsi="Times New Roman" w:eastAsia="宋体" w:cs="Times New Roman"/>
          <w:b w:val="0"/>
          <w:bCs/>
          <w:color w:val="auto"/>
          <w:sz w:val="24"/>
          <w:szCs w:val="24"/>
          <w:u w:val="none"/>
        </w:rPr>
        <w:t xml:space="preserve"> </w:t>
      </w:r>
      <w:r>
        <w:rPr>
          <w:rFonts w:hint="default" w:ascii="Times New Roman" w:hAnsi="Times New Roman" w:eastAsia="宋体" w:cs="Times New Roman"/>
          <w:b w:val="0"/>
          <w:bCs/>
          <w:sz w:val="24"/>
          <w:szCs w:val="24"/>
        </w:rPr>
        <w:t xml:space="preserve"> 叶绿素和类胡萝卜素</w:t>
      </w:r>
    </w:p>
    <w:p w14:paraId="7278E613">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 协助扩散     高能电子（e</w:t>
      </w:r>
      <w:r>
        <w:rPr>
          <w:rFonts w:hint="default" w:ascii="Times New Roman" w:hAnsi="Times New Roman" w:eastAsia="宋体" w:cs="Times New Roman"/>
          <w:b w:val="0"/>
          <w:bCs/>
          <w:sz w:val="24"/>
          <w:szCs w:val="24"/>
          <w:vertAlign w:val="superscript"/>
        </w:rPr>
        <w:t>-</w:t>
      </w:r>
      <w:r>
        <w:rPr>
          <w:rFonts w:hint="default" w:ascii="Times New Roman" w:hAnsi="Times New Roman" w:eastAsia="宋体" w:cs="Times New Roman"/>
          <w:b w:val="0"/>
          <w:bCs/>
          <w:sz w:val="24"/>
          <w:szCs w:val="24"/>
        </w:rPr>
        <w:t>）</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rPr>
        <w:t xml:space="preserve">  内腔中H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S分解产生H</w:t>
      </w:r>
      <w:r>
        <w:rPr>
          <w:rFonts w:hint="default" w:ascii="Times New Roman" w:hAnsi="Times New Roman" w:eastAsia="宋体" w:cs="Times New Roman"/>
          <w:b w:val="0"/>
          <w:bCs/>
          <w:sz w:val="24"/>
          <w:szCs w:val="24"/>
          <w:vertAlign w:val="superscript"/>
        </w:rPr>
        <w:t>+</w:t>
      </w:r>
      <w:r>
        <w:rPr>
          <w:rFonts w:hint="default" w:ascii="Times New Roman" w:hAnsi="Times New Roman" w:eastAsia="宋体" w:cs="Times New Roman"/>
          <w:b w:val="0"/>
          <w:bCs/>
          <w:sz w:val="24"/>
          <w:szCs w:val="24"/>
        </w:rPr>
        <w:t>，细胞质基质中NADPH合成消耗H</w:t>
      </w:r>
      <w:r>
        <w:rPr>
          <w:rFonts w:hint="default" w:ascii="Times New Roman" w:hAnsi="Times New Roman" w:eastAsia="宋体" w:cs="Times New Roman"/>
          <w:b w:val="0"/>
          <w:bCs/>
          <w:sz w:val="24"/>
          <w:szCs w:val="24"/>
          <w:vertAlign w:val="superscript"/>
        </w:rPr>
        <w:t>+</w:t>
      </w:r>
    </w:p>
    <w:p w14:paraId="51888B9A">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  绿硫细菌分解H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S，而不是分解H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O     通过分解H</w:t>
      </w:r>
      <w:r>
        <w:rPr>
          <w:rFonts w:hint="default" w:ascii="Times New Roman" w:hAnsi="Times New Roman" w:eastAsia="宋体" w:cs="Times New Roman"/>
          <w:b w:val="0"/>
          <w:bCs/>
          <w:sz w:val="24"/>
          <w:szCs w:val="24"/>
          <w:vertAlign w:val="subscript"/>
        </w:rPr>
        <w:t>2</w:t>
      </w:r>
      <w:r>
        <w:rPr>
          <w:rFonts w:hint="default" w:ascii="Times New Roman" w:hAnsi="Times New Roman" w:eastAsia="宋体" w:cs="Times New Roman"/>
          <w:b w:val="0"/>
          <w:bCs/>
          <w:sz w:val="24"/>
          <w:szCs w:val="24"/>
        </w:rPr>
        <w:t>S获得电子而进行厌氧光合作用</w:t>
      </w:r>
    </w:p>
    <w:p w14:paraId="3C9D5991">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(4)能够在合成ATP的同时合成NADPH</w:t>
      </w:r>
    </w:p>
    <w:p w14:paraId="66B7671C">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(5)①②④</w:t>
      </w:r>
    </w:p>
    <w:p w14:paraId="193D99BB">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rFonts w:hint="default" w:ascii="Times New Roman" w:hAnsi="Times New Roman" w:eastAsia="宋体" w:cs="Times New Roman"/>
          <w:b w:val="0"/>
          <w:bCs/>
          <w:sz w:val="24"/>
          <w:szCs w:val="24"/>
        </w:rPr>
        <w:t>2</w:t>
      </w:r>
      <w:r>
        <w:rPr>
          <w:rFonts w:hint="eastAsia"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rPr>
        <w:t>．</w:t>
      </w:r>
      <w:r>
        <w:rPr>
          <w:sz w:val="24"/>
          <w:szCs w:val="24"/>
        </w:rPr>
        <w:t>(1)     减数第一次分裂前期     联会     B</w:t>
      </w:r>
      <w:r>
        <w:rPr>
          <w:sz w:val="24"/>
          <w:szCs w:val="24"/>
          <w:vertAlign w:val="subscript"/>
        </w:rPr>
        <w:t>1</w:t>
      </w:r>
      <w:r>
        <w:rPr>
          <w:sz w:val="24"/>
          <w:szCs w:val="24"/>
        </w:rPr>
        <w:t>C</w:t>
      </w:r>
      <w:r>
        <w:rPr>
          <w:sz w:val="24"/>
          <w:szCs w:val="24"/>
          <w:vertAlign w:val="subscript"/>
        </w:rPr>
        <w:t>1</w:t>
      </w:r>
    </w:p>
    <w:p w14:paraId="1CAE9717">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sz w:val="24"/>
          <w:szCs w:val="24"/>
        </w:rPr>
        <w:t>(2)     DNA的复制     D</w:t>
      </w:r>
      <w:r>
        <w:rPr>
          <w:sz w:val="24"/>
          <w:szCs w:val="24"/>
          <w:vertAlign w:val="subscript"/>
        </w:rPr>
        <w:t>2</w:t>
      </w:r>
      <w:r>
        <w:rPr>
          <w:sz w:val="24"/>
          <w:szCs w:val="24"/>
        </w:rPr>
        <w:t>E</w:t>
      </w:r>
      <w:r>
        <w:rPr>
          <w:sz w:val="24"/>
          <w:szCs w:val="24"/>
          <w:vertAlign w:val="subscript"/>
        </w:rPr>
        <w:t>2</w:t>
      </w:r>
    </w:p>
    <w:p w14:paraId="045CC910">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sz w:val="24"/>
          <w:szCs w:val="24"/>
        </w:rPr>
        <w:t>(3)     甲     ①</w:t>
      </w:r>
    </w:p>
    <w:p w14:paraId="26505C2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sz w:val="24"/>
          <w:szCs w:val="24"/>
        </w:rPr>
        <w:t>(4)     次级卵母细胞     0     Ab</w:t>
      </w:r>
    </w:p>
    <w:p w14:paraId="14D5D06A">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rPr>
      </w:pPr>
      <w:r>
        <w:rPr>
          <w:sz w:val="24"/>
          <w:szCs w:val="24"/>
        </w:rPr>
        <w:t>(5)减数第一次分裂后期，含有B、b的同源染色体没有分开，移向了细胞的同一极</w:t>
      </w:r>
    </w:p>
    <w:p w14:paraId="0E42E3E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rFonts w:hint="eastAsia" w:ascii="Times New Roman" w:hAnsi="Times New Roman" w:eastAsia="宋体" w:cs="Times New Roman"/>
          <w:b w:val="0"/>
          <w:bCs/>
          <w:sz w:val="24"/>
          <w:szCs w:val="24"/>
          <w:lang w:val="en-US" w:eastAsia="zh-CN"/>
        </w:rPr>
        <w:t>23.</w:t>
      </w:r>
      <w:r>
        <w:rPr>
          <w:rFonts w:hint="eastAsia" w:ascii="微软雅黑" w:hAnsi="微软雅黑" w:eastAsia="微软雅黑" w:cs="微软雅黑"/>
          <w:b w:val="0"/>
          <w:bCs/>
          <w:sz w:val="24"/>
          <w:szCs w:val="24"/>
          <w:lang w:val="en-US" w:eastAsia="zh-CN"/>
        </w:rPr>
        <w:t>Ⅰ</w:t>
      </w:r>
      <w:r>
        <w:rPr>
          <w:sz w:val="24"/>
          <w:szCs w:val="24"/>
        </w:rPr>
        <w:t xml:space="preserve">  </w:t>
      </w:r>
      <w:r>
        <w:rPr>
          <w:rFonts w:ascii="Time New Romans" w:hAnsi="Time New Romans" w:eastAsia="Time New Romans" w:cs="Time New Romans"/>
          <w:sz w:val="24"/>
          <w:szCs w:val="24"/>
        </w:rPr>
        <w:t>—COOH</w:t>
      </w:r>
      <w:r>
        <w:rPr>
          <w:sz w:val="24"/>
          <w:szCs w:val="24"/>
        </w:rPr>
        <w:t>（羧基）     细胞核     细胞质中的核糖体（核糖体）     与蛋白质的解折叠及重新折叠有关     半自主性     卵细胞（母本）     可能     受精前后细胞核内基因有变化，而线粒体中的蛋白质大多是由细胞核中的基因控制合成</w:t>
      </w:r>
    </w:p>
    <w:p w14:paraId="7A3F66E3">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rFonts w:hint="eastAsia" w:ascii="微软雅黑" w:hAnsi="微软雅黑" w:eastAsia="微软雅黑" w:cs="微软雅黑"/>
          <w:b w:val="0"/>
          <w:bCs/>
          <w:sz w:val="24"/>
          <w:szCs w:val="24"/>
          <w:lang w:val="en-US" w:eastAsia="zh-CN"/>
        </w:rPr>
        <w:t>Ⅱ</w:t>
      </w:r>
      <w:r>
        <w:rPr>
          <w:rFonts w:hint="eastAsia" w:ascii="Times New Roman" w:hAnsi="Times New Roman" w:eastAsia="宋体" w:cs="Times New Roman"/>
          <w:b w:val="0"/>
          <w:bCs/>
          <w:sz w:val="24"/>
          <w:szCs w:val="24"/>
          <w:lang w:val="en-US" w:eastAsia="zh-CN"/>
        </w:rPr>
        <w:t>.</w:t>
      </w:r>
      <w:r>
        <w:rPr>
          <w:sz w:val="24"/>
          <w:szCs w:val="24"/>
        </w:rPr>
        <w:t>(1)     动物     核糖体、内质网、高尔基体、小泡、线粒体（合理即可）</w:t>
      </w:r>
    </w:p>
    <w:p w14:paraId="66D23C68">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sz w:val="24"/>
          <w:szCs w:val="24"/>
        </w:rPr>
        <w:t>(2)回收偶尔（错误）分泌到细胞外的磷酸化的溶酶体酶</w:t>
      </w:r>
    </w:p>
    <w:p w14:paraId="36871609">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sz w:val="24"/>
          <w:szCs w:val="24"/>
        </w:rPr>
      </w:pPr>
      <w:r>
        <w:rPr>
          <w:sz w:val="24"/>
          <w:szCs w:val="24"/>
        </w:rPr>
        <w:t>(3)     分泌蛋白     作为M6P受体识别的信号，只有被磷酸化的溶酶体酶才会形成前溶酶体</w:t>
      </w:r>
    </w:p>
    <w:p w14:paraId="2B176238">
      <w:pPr>
        <w:keepNext w:val="0"/>
        <w:keepLines w:val="0"/>
        <w:pageBreakBefore w:val="0"/>
        <w:widowControl w:val="0"/>
        <w:shd w:val="clear" w:color="auto" w:fill="auto"/>
        <w:kinsoku/>
        <w:wordWrap/>
        <w:overflowPunct/>
        <w:topLinePunct w:val="0"/>
        <w:autoSpaceDE/>
        <w:autoSpaceDN/>
        <w:bidi w:val="0"/>
        <w:adjustRightInd/>
        <w:snapToGrid/>
        <w:spacing w:line="312" w:lineRule="auto"/>
        <w:jc w:val="left"/>
        <w:textAlignment w:val="center"/>
        <w:rPr>
          <w:rFonts w:hint="default" w:ascii="Times New Roman" w:hAnsi="Times New Roman" w:eastAsia="宋体" w:cs="Times New Roman"/>
          <w:b w:val="0"/>
          <w:bCs/>
          <w:sz w:val="24"/>
          <w:szCs w:val="24"/>
          <w:lang w:val="en-US" w:eastAsia="zh-CN"/>
        </w:rPr>
      </w:pPr>
      <w:r>
        <w:rPr>
          <w:sz w:val="24"/>
          <w:szCs w:val="24"/>
        </w:rPr>
        <w:t>(4)大于</w:t>
      </w:r>
    </w:p>
    <w:p w14:paraId="63E8FA54">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2</w:t>
      </w:r>
      <w:r>
        <w:rPr>
          <w:rFonts w:hint="eastAsia" w:ascii="Times New Roman" w:hAnsi="Times New Roman" w:eastAsia="宋体" w:cs="Times New Roman"/>
          <w:b w:val="0"/>
          <w:bCs/>
          <w:sz w:val="24"/>
          <w:szCs w:val="24"/>
          <w:lang w:val="en-US" w:eastAsia="zh-CN"/>
        </w:rPr>
        <w:t>4</w:t>
      </w:r>
      <w:r>
        <w:rPr>
          <w:rFonts w:hint="default" w:ascii="Times New Roman" w:hAnsi="Times New Roman" w:eastAsia="宋体" w:cs="Times New Roman"/>
          <w:b w:val="0"/>
          <w:bCs/>
          <w:sz w:val="24"/>
          <w:szCs w:val="24"/>
        </w:rPr>
        <w:t xml:space="preserve">．(1)  蛋白质功能     解旋      6 </w:t>
      </w:r>
    </w:p>
    <w:p w14:paraId="605B0D95">
      <w:pPr>
        <w:keepNext w:val="0"/>
        <w:keepLines w:val="0"/>
        <w:pageBreakBefore w:val="0"/>
        <w:widowControl w:val="0"/>
        <w:shd w:val="clear" w:color="auto" w:fill="auto"/>
        <w:kinsoku/>
        <w:wordWrap/>
        <w:overflowPunct/>
        <w:topLinePunct w:val="0"/>
        <w:autoSpaceDE/>
        <w:autoSpaceDN/>
        <w:bidi w:val="0"/>
        <w:adjustRightInd/>
        <w:snapToGrid/>
        <w:spacing w:line="312" w:lineRule="auto"/>
        <w:ind w:left="0"/>
        <w:jc w:val="left"/>
        <w:textAlignment w:val="center"/>
        <w:rPr>
          <w:rFonts w:hint="eastAsia" w:ascii="Times New Roman" w:hAnsi="Times New Roman" w:eastAsia="宋体" w:cs="Times New Roman"/>
          <w:b w:val="0"/>
          <w:bCs/>
          <w:sz w:val="24"/>
          <w:szCs w:val="24"/>
          <w:lang w:eastAsia="zh-CN"/>
        </w:rPr>
      </w:pPr>
      <w:r>
        <w:rPr>
          <w:rFonts w:hint="default" w:ascii="Times New Roman" w:hAnsi="Times New Roman" w:eastAsia="宋体" w:cs="Times New Roman"/>
          <w:b w:val="0"/>
          <w:bCs/>
          <w:sz w:val="24"/>
          <w:szCs w:val="24"/>
        </w:rPr>
        <w:t>(2)  AAA     TTT</w:t>
      </w:r>
      <w:r>
        <w:rPr>
          <w:rFonts w:hint="eastAsia" w:cs="Times New Roman"/>
          <w:b w:val="0"/>
          <w:bCs/>
          <w:sz w:val="24"/>
          <w:szCs w:val="24"/>
          <w:lang w:val="en-US" w:eastAsia="zh-CN"/>
        </w:rPr>
        <w:t xml:space="preserve">      </w:t>
      </w:r>
      <w:r>
        <w:rPr>
          <w:rFonts w:hint="eastAsia" w:cs="Times New Roman"/>
          <w:b w:val="0"/>
          <w:bCs/>
          <w:sz w:val="24"/>
          <w:szCs w:val="24"/>
          <w:lang w:eastAsia="zh-CN"/>
        </w:rPr>
        <w:t>（</w:t>
      </w:r>
      <w:r>
        <w:rPr>
          <w:rFonts w:hint="eastAsia" w:cs="Times New Roman"/>
          <w:b w:val="0"/>
          <w:bCs/>
          <w:sz w:val="24"/>
          <w:szCs w:val="24"/>
          <w:lang w:val="en-US" w:eastAsia="zh-CN"/>
        </w:rPr>
        <w:t>或者AAG和TTC</w:t>
      </w:r>
      <w:r>
        <w:rPr>
          <w:rFonts w:hint="eastAsia" w:cs="Times New Roman"/>
          <w:b w:val="0"/>
          <w:bCs/>
          <w:sz w:val="24"/>
          <w:szCs w:val="24"/>
          <w:lang w:eastAsia="zh-CN"/>
        </w:rPr>
        <w:t>）</w:t>
      </w:r>
    </w:p>
    <w:p w14:paraId="3B3A542F">
      <w:pPr>
        <w:keepNext w:val="0"/>
        <w:keepLines w:val="0"/>
        <w:pageBreakBefore w:val="0"/>
        <w:widowControl w:val="0"/>
        <w:kinsoku/>
        <w:wordWrap/>
        <w:overflowPunct/>
        <w:topLinePunct w:val="0"/>
        <w:autoSpaceDE/>
        <w:autoSpaceDN/>
        <w:bidi w:val="0"/>
        <w:adjustRightInd/>
        <w:snapToGrid/>
        <w:spacing w:line="312" w:lineRule="auto"/>
        <w:jc w:val="both"/>
        <w:rPr>
          <w:rFonts w:hint="eastAsia" w:ascii="Times New Roman" w:hAnsi="Times New Roman" w:eastAsia="宋体" w:cs="Times New Roman"/>
          <w:b/>
          <w:bCs/>
          <w:color w:val="auto"/>
          <w:sz w:val="21"/>
          <w:szCs w:val="21"/>
        </w:rPr>
      </w:pPr>
      <w:r>
        <w:rPr>
          <w:rFonts w:hint="default" w:ascii="Times New Roman" w:hAnsi="Times New Roman" w:eastAsia="宋体" w:cs="Times New Roman"/>
          <w:b w:val="0"/>
          <w:bCs/>
          <w:sz w:val="24"/>
          <w:szCs w:val="24"/>
        </w:rPr>
        <w:t xml:space="preserve">(3)  XmaI     BamHI      XmaI      BclI      DNA连接      氨苄青霉素 </w:t>
      </w:r>
    </w:p>
    <w:sectPr>
      <w:footerReference r:id="rId3" w:type="default"/>
      <w:pgSz w:w="11906" w:h="16838"/>
      <w:pgMar w:top="720" w:right="720" w:bottom="720"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 New Rom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1124">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1AB7F"/>
    <w:multiLevelType w:val="singleLevel"/>
    <w:tmpl w:val="A551AB7F"/>
    <w:lvl w:ilvl="0" w:tentative="0">
      <w:start w:val="1"/>
      <w:numFmt w:val="chineseCounting"/>
      <w:suff w:val="nothing"/>
      <w:lvlText w:val="%1、"/>
      <w:lvlJc w:val="left"/>
      <w:rPr>
        <w:rFonts w:hint="eastAsia"/>
      </w:rPr>
    </w:lvl>
  </w:abstractNum>
  <w:abstractNum w:abstractNumId="1">
    <w:nsid w:val="1DC6DDDB"/>
    <w:multiLevelType w:val="singleLevel"/>
    <w:tmpl w:val="1DC6DDDB"/>
    <w:lvl w:ilvl="0" w:tentative="0">
      <w:start w:val="1"/>
      <w:numFmt w:val="upperLetter"/>
      <w:suff w:val="nothing"/>
      <w:lvlText w:val="%1．"/>
      <w:lvlJc w:val="left"/>
    </w:lvl>
  </w:abstractNum>
  <w:abstractNum w:abstractNumId="2">
    <w:nsid w:val="3489FFD3"/>
    <w:multiLevelType w:val="singleLevel"/>
    <w:tmpl w:val="3489FFD3"/>
    <w:lvl w:ilvl="0" w:tentative="0">
      <w:start w:val="1"/>
      <w:numFmt w:val="upperLetter"/>
      <w:suff w:val="nothing"/>
      <w:lvlText w:val="%1．"/>
      <w:lvlJc w:val="left"/>
    </w:lvl>
  </w:abstractNum>
  <w:abstractNum w:abstractNumId="3">
    <w:nsid w:val="39AB4B86"/>
    <w:multiLevelType w:val="singleLevel"/>
    <w:tmpl w:val="39AB4B86"/>
    <w:lvl w:ilvl="0" w:tentative="0">
      <w:start w:val="1"/>
      <w:numFmt w:val="upperLetter"/>
      <w:suff w:val="nothing"/>
      <w:lvlText w:val="%1．"/>
      <w:lvlJc w:val="left"/>
    </w:lvl>
  </w:abstractNum>
  <w:abstractNum w:abstractNumId="4">
    <w:nsid w:val="44F6D3EE"/>
    <w:multiLevelType w:val="singleLevel"/>
    <w:tmpl w:val="44F6D3EE"/>
    <w:lvl w:ilvl="0" w:tentative="0">
      <w:start w:val="3"/>
      <w:numFmt w:val="decimal"/>
      <w:lvlText w:val="(%1)"/>
      <w:lvlJc w:val="left"/>
      <w:pPr>
        <w:tabs>
          <w:tab w:val="left" w:pos="312"/>
        </w:tabs>
      </w:pPr>
    </w:lvl>
  </w:abstractNum>
  <w:abstractNum w:abstractNumId="5">
    <w:nsid w:val="53E6ECB7"/>
    <w:multiLevelType w:val="singleLevel"/>
    <w:tmpl w:val="53E6ECB7"/>
    <w:lvl w:ilvl="0" w:tentative="0">
      <w:start w:val="1"/>
      <w:numFmt w:val="upperLetter"/>
      <w:suff w:val="nothing"/>
      <w:lvlText w:val="%1．"/>
      <w:lvlJc w:val="left"/>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96F07"/>
    <w:rsid w:val="039E565E"/>
    <w:rsid w:val="03E94B2B"/>
    <w:rsid w:val="063E5761"/>
    <w:rsid w:val="070659F4"/>
    <w:rsid w:val="07AF24B9"/>
    <w:rsid w:val="08843074"/>
    <w:rsid w:val="08EE6740"/>
    <w:rsid w:val="0D865199"/>
    <w:rsid w:val="107B2FAF"/>
    <w:rsid w:val="13482EF0"/>
    <w:rsid w:val="15610299"/>
    <w:rsid w:val="15747FCD"/>
    <w:rsid w:val="163C4F8E"/>
    <w:rsid w:val="1B650AE3"/>
    <w:rsid w:val="1C8A6328"/>
    <w:rsid w:val="1D3E783E"/>
    <w:rsid w:val="1E6C3F37"/>
    <w:rsid w:val="1E7159F1"/>
    <w:rsid w:val="1FB47481"/>
    <w:rsid w:val="1FBE4C66"/>
    <w:rsid w:val="22A068A5"/>
    <w:rsid w:val="22C72083"/>
    <w:rsid w:val="29C94933"/>
    <w:rsid w:val="2AC46EA9"/>
    <w:rsid w:val="2C772424"/>
    <w:rsid w:val="2CD930DF"/>
    <w:rsid w:val="317F1D7B"/>
    <w:rsid w:val="32004C6A"/>
    <w:rsid w:val="361932E4"/>
    <w:rsid w:val="39F2117C"/>
    <w:rsid w:val="3A0D261A"/>
    <w:rsid w:val="3A773F37"/>
    <w:rsid w:val="3B6224F2"/>
    <w:rsid w:val="3DCC459A"/>
    <w:rsid w:val="3EC86B10"/>
    <w:rsid w:val="3F5465F5"/>
    <w:rsid w:val="42E87780"/>
    <w:rsid w:val="43F9776B"/>
    <w:rsid w:val="444E5D09"/>
    <w:rsid w:val="448E25A9"/>
    <w:rsid w:val="468A4D72"/>
    <w:rsid w:val="475953C0"/>
    <w:rsid w:val="495042D1"/>
    <w:rsid w:val="4B296B88"/>
    <w:rsid w:val="4BAD1567"/>
    <w:rsid w:val="4E850579"/>
    <w:rsid w:val="4EFB083B"/>
    <w:rsid w:val="4FDD6193"/>
    <w:rsid w:val="5277509E"/>
    <w:rsid w:val="561E09AD"/>
    <w:rsid w:val="582708F3"/>
    <w:rsid w:val="58F24A5D"/>
    <w:rsid w:val="5988716F"/>
    <w:rsid w:val="5C594DF3"/>
    <w:rsid w:val="5CED3EB9"/>
    <w:rsid w:val="5DD24E5D"/>
    <w:rsid w:val="5E8343A9"/>
    <w:rsid w:val="62143C96"/>
    <w:rsid w:val="63F21DB5"/>
    <w:rsid w:val="68882CE8"/>
    <w:rsid w:val="69D41F5D"/>
    <w:rsid w:val="69FD14B4"/>
    <w:rsid w:val="6B767770"/>
    <w:rsid w:val="6BC06C3D"/>
    <w:rsid w:val="6BDB75D3"/>
    <w:rsid w:val="6EBF4F8A"/>
    <w:rsid w:val="6ECE341F"/>
    <w:rsid w:val="71126B9B"/>
    <w:rsid w:val="76E063E5"/>
    <w:rsid w:val="770A71F1"/>
    <w:rsid w:val="77DC4DFE"/>
    <w:rsid w:val="7A5A025C"/>
    <w:rsid w:val="7A9B68AB"/>
    <w:rsid w:val="7C5A4544"/>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oleObject" Target="embeddings/oleObject3.bin"/><Relationship Id="rId12" Type="http://schemas.openxmlformats.org/officeDocument/2006/relationships/image" Target="media/image6.wmf"/><Relationship Id="rId11" Type="http://schemas.openxmlformats.org/officeDocument/2006/relationships/oleObject" Target="embeddings/oleObject2.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6780</Words>
  <Characters>7366</Characters>
  <Lines>0</Lines>
  <Paragraphs>0</Paragraphs>
  <TotalTime>3</TotalTime>
  <ScaleCrop>false</ScaleCrop>
  <LinksUpToDate>false</LinksUpToDate>
  <CharactersWithSpaces>8833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2025-07-05T00:43:00Z</dcterms:created>
  <dc:creator>媛宝</dc:creator>
  <cp:lastModifiedBy>Victoria</cp:lastModifiedBy>
  <dcterms:modified xsi:type="dcterms:W3CDTF">2025-07-05T07:40:01Z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eyJoZGlkIjoiYjczNTgxZjlmODNkNjRmOGYzYmVlZWY1NjNhYTdiNDQiLCJ1c2VySWQiOiI5NDExNzE5MTEifQ==</vt:lpwstr>
  </property>
  <property fmtid="{D5CDD505-2E9C-101B-9397-08002B2CF9AE}" pid="4" name="ICV">
    <vt:lpwstr>CB6BD4D0E23E410EA14B0E1E3D07B50F_12</vt:lpwstr>
  </property>
</Properties>
</file>