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2A068">
      <w:pPr>
        <w:pStyle w:val="13"/>
        <w:snapToGrid w:val="0"/>
        <w:jc w:val="center"/>
        <w:outlineLvl w:val="0"/>
        <w:rPr>
          <w:rFonts w:ascii="黑体" w:hAnsi="宋体" w:eastAsia="黑体"/>
          <w:b/>
          <w:sz w:val="28"/>
          <w:szCs w:val="28"/>
        </w:rPr>
      </w:pPr>
      <w:bookmarkStart w:id="0" w:name="_Toc1837"/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2024-2025学年度第二学期</w:t>
      </w:r>
      <w:r>
        <w:rPr>
          <w:rFonts w:hint="eastAsia" w:ascii="黑体" w:hAnsi="宋体" w:eastAsia="黑体"/>
          <w:b/>
          <w:sz w:val="28"/>
          <w:szCs w:val="28"/>
        </w:rPr>
        <w:t>高二物理学科导学案</w:t>
      </w:r>
      <w:bookmarkEnd w:id="0"/>
    </w:p>
    <w:p w14:paraId="1ED6BFC6">
      <w:pPr>
        <w:spacing w:line="240" w:lineRule="atLeast"/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1" w:name="_Toc7192"/>
      <w:r>
        <w:rPr>
          <w:rFonts w:ascii="黑体" w:hAnsi="黑体" w:eastAsia="黑体"/>
          <w:b/>
          <w:bCs/>
          <w:sz w:val="28"/>
          <w:szCs w:val="28"/>
        </w:rPr>
        <w:t xml:space="preserve">11.1  </w:t>
      </w:r>
      <w:r>
        <w:rPr>
          <w:rFonts w:hint="eastAsia" w:ascii="黑体" w:hAnsi="黑体" w:eastAsia="黑体"/>
          <w:b/>
          <w:bCs/>
          <w:sz w:val="28"/>
          <w:szCs w:val="28"/>
        </w:rPr>
        <w:t>电源和电流</w:t>
      </w:r>
      <w:bookmarkEnd w:id="1"/>
    </w:p>
    <w:p w14:paraId="1B2C88A3">
      <w:pPr>
        <w:spacing w:line="240" w:lineRule="atLeast"/>
        <w:jc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eastAsia="zh-CN"/>
        </w:rPr>
        <w:t>付克文</w:t>
      </w:r>
      <w:r>
        <w:rPr>
          <w:rFonts w:hint="eastAsia" w:ascii="楷体" w:hAnsi="楷体" w:eastAsia="楷体"/>
          <w:sz w:val="24"/>
        </w:rPr>
        <w:t xml:space="preserve">       审核人：</w:t>
      </w:r>
      <w:r>
        <w:rPr>
          <w:rFonts w:hint="eastAsia" w:ascii="楷体" w:hAnsi="楷体" w:eastAsia="楷体"/>
          <w:sz w:val="24"/>
          <w:lang w:eastAsia="zh-CN"/>
        </w:rPr>
        <w:t>韦娟</w:t>
      </w:r>
    </w:p>
    <w:p w14:paraId="34D812EB">
      <w:pPr>
        <w:spacing w:line="240" w:lineRule="atLeas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bookmarkStart w:id="2" w:name="OLE_LINK1"/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2025-4-28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bookmarkEnd w:id="2"/>
      <w:r>
        <w:rPr>
          <w:rFonts w:hint="eastAsia" w:ascii="楷体" w:hAnsi="楷体" w:eastAsia="楷体" w:cs="楷体"/>
          <w:bCs/>
          <w:sz w:val="24"/>
        </w:rPr>
        <w:t xml:space="preserve">       </w:t>
      </w:r>
    </w:p>
    <w:p w14:paraId="0536A194">
      <w:pPr>
        <w:rPr>
          <w:rFonts w:ascii="宋体" w:hAnsi="宋体"/>
        </w:rPr>
      </w:pPr>
      <w:r>
        <w:rPr>
          <w:rFonts w:hint="eastAsia" w:ascii="宋体" w:hAnsi="宋体"/>
        </w:rPr>
        <w:t>本课在课程标准中的表述：了解电源的作用，知道电流的定义式和微观表达式</w:t>
      </w:r>
      <w:r>
        <w:t>．</w:t>
      </w:r>
    </w:p>
    <w:p w14:paraId="437F6088">
      <w:pPr>
        <w:pStyle w:val="13"/>
        <w:snapToGrid w:val="0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 w14:paraId="15FCFB49">
      <w:pPr>
        <w:pStyle w:val="1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1.了解形成电流的条件，知道电源的作用和导体中的恒定电场.</w:t>
      </w:r>
    </w:p>
    <w:p w14:paraId="48AB5631">
      <w:pPr>
        <w:pStyle w:val="1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2.理解电流的定义，知道电流的单位和方向.</w:t>
      </w:r>
    </w:p>
    <w:p w14:paraId="17AC8984">
      <w:pPr>
        <w:pStyle w:val="13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3.会推导电流的微观表达式，了解表达式中各量的意义．</w:t>
      </w:r>
    </w:p>
    <w:p w14:paraId="2773E90D">
      <w:pPr>
        <w:pStyle w:val="13"/>
        <w:tabs>
          <w:tab w:val="left" w:pos="3544"/>
        </w:tabs>
        <w:snapToGrid w:val="0"/>
        <w:jc w:val="lef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2684682E">
      <w:pPr>
        <w:pStyle w:val="13"/>
        <w:tabs>
          <w:tab w:val="left" w:pos="3402"/>
        </w:tabs>
        <w:snapToGrid w:val="0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一、电源</w:t>
      </w:r>
    </w:p>
    <w:p w14:paraId="1A170E85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1．定义：能把电子从电源</w:t>
      </w:r>
      <w:r>
        <w:rPr>
          <w:rFonts w:hint="eastAsia"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搬运到电源</w:t>
      </w:r>
      <w:r>
        <w:rPr>
          <w:rFonts w:hint="eastAsia"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的装置就是电源．</w:t>
      </w:r>
    </w:p>
    <w:p w14:paraId="792BA5A2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2．作用：使导体两端始终存在</w:t>
      </w:r>
      <w:r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</w:rPr>
        <w:t>．</w:t>
      </w:r>
    </w:p>
    <w:p w14:paraId="2B0DF221">
      <w:pPr>
        <w:pStyle w:val="13"/>
        <w:tabs>
          <w:tab w:val="left" w:pos="3402"/>
        </w:tabs>
        <w:snapToGrid w:val="0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二、恒定电流</w:t>
      </w:r>
    </w:p>
    <w:p w14:paraId="4AAB9F91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1．定义：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都不随时间变化的电流称为恒定电流．</w:t>
      </w:r>
    </w:p>
    <w:p w14:paraId="1BB889E8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2．电流的定义式：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q,t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，其物理意义：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时间内通过导体横截面的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，是表示电流强弱程度的物理量．</w:t>
      </w:r>
    </w:p>
    <w:p w14:paraId="1C0203D4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3．在国际单位制中，电流的单位是</w:t>
      </w:r>
      <w:r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</w:rPr>
        <w:t>，符号是A.</w:t>
      </w:r>
    </w:p>
    <w:p w14:paraId="355B3C55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4．电流的方向：规定为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定向移动的方向，与负电荷定向移动的方向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．</w:t>
      </w:r>
    </w:p>
    <w:p w14:paraId="25D793C6">
      <w:pPr>
        <w:pStyle w:val="13"/>
        <w:snapToGrid w:val="0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 w14:paraId="1B1CF52D">
      <w:pPr>
        <w:pStyle w:val="13"/>
        <w:tabs>
          <w:tab w:val="left" w:pos="3402"/>
        </w:tabs>
        <w:snapToGrid w:val="0"/>
        <w:rPr>
          <w:rFonts w:hAnsi="宋体" w:cs="Times New Roman"/>
        </w:rPr>
      </w:pPr>
      <w:r>
        <w:rPr>
          <w:rFonts w:hAnsi="宋体" w:cs="Times New Roman"/>
          <w:b/>
          <w:bCs/>
        </w:rPr>
        <w:t>一、电流的理解和计算</w:t>
      </w:r>
    </w:p>
    <w:p w14:paraId="6E2451F5">
      <w:pPr>
        <w:pStyle w:val="13"/>
        <w:tabs>
          <w:tab w:val="left" w:pos="3402"/>
        </w:tabs>
        <w:snapToGrid w:val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0" b="0"/>
            <wp:docPr id="1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"E:\\周飞燕\\2021\\同步\\物理\\物理 人教 必修第三册\\右括.TIF"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"E:\\周飞燕\\2021\\同步\\物理\\物理 人教 必修第三册\\右括.TIF"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苏京（新教材）\\全书完整的Word版文档\\第十二章\\右括.TIF"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0" b="0"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 w14:paraId="73BEFFB4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4318635</wp:posOffset>
            </wp:positionH>
            <wp:positionV relativeFrom="paragraph">
              <wp:posOffset>18415</wp:posOffset>
            </wp:positionV>
            <wp:extent cx="1729740" cy="477520"/>
            <wp:effectExtent l="0" t="0" r="3810" b="0"/>
            <wp:wrapTight wrapText="bothSides">
              <wp:wrapPolygon>
                <wp:start x="0" y="0"/>
                <wp:lineTo x="0" y="20681"/>
                <wp:lineTo x="21410" y="20681"/>
                <wp:lineTo x="21410" y="0"/>
                <wp:lineTo x="0" y="0"/>
              </wp:wrapPolygon>
            </wp:wrapTight>
            <wp:docPr id="97" name="图片 2" descr="A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2" descr="A3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1．如图所示，用导线连接两个分别带正、负电荷的导体，导线中有无电流？为什么？如果有，这个电流能持续下去吗？</w:t>
      </w:r>
    </w:p>
    <w:p w14:paraId="6CB9A193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513E3D3A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5128260</wp:posOffset>
            </wp:positionH>
            <wp:positionV relativeFrom="paragraph">
              <wp:posOffset>5715</wp:posOffset>
            </wp:positionV>
            <wp:extent cx="754380" cy="627380"/>
            <wp:effectExtent l="0" t="0" r="7620" b="1270"/>
            <wp:wrapTight wrapText="bothSides">
              <wp:wrapPolygon>
                <wp:start x="0" y="0"/>
                <wp:lineTo x="0" y="20988"/>
                <wp:lineTo x="21273" y="20988"/>
                <wp:lineTo x="21273" y="0"/>
                <wp:lineTo x="0" y="0"/>
              </wp:wrapPolygon>
            </wp:wrapTight>
            <wp:docPr id="102" name="图片 3" descr="A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3" descr="A3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BEADD1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2．如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所示，如何让导线中保持持续的电流？电源起到了什么作用？</w:t>
      </w:r>
    </w:p>
    <w:p w14:paraId="4C7000AD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4E297DAC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72F2C5B4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5200650</wp:posOffset>
            </wp:positionH>
            <wp:positionV relativeFrom="paragraph">
              <wp:posOffset>76835</wp:posOffset>
            </wp:positionV>
            <wp:extent cx="746760" cy="570230"/>
            <wp:effectExtent l="0" t="0" r="0" b="1270"/>
            <wp:wrapTight wrapText="bothSides">
              <wp:wrapPolygon>
                <wp:start x="0" y="0"/>
                <wp:lineTo x="0" y="20927"/>
                <wp:lineTo x="20939" y="20927"/>
                <wp:lineTo x="20939" y="0"/>
                <wp:lineTo x="0" y="0"/>
              </wp:wrapPolygon>
            </wp:wrapTight>
            <wp:docPr id="101" name="图片 4" descr="A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4" descr="A3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3．如图，盐水中可以形成电流，盐水中的电流和金属导体中的电流的形成有什么不同？</w:t>
      </w:r>
    </w:p>
    <w:p w14:paraId="7D059219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6A7A9D92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FCBF400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"I:\\王真\\2021\\同步\\物理\\人教 必修第三册 苏京\\左括.TIF"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"I:\\王真\\2021\\同步\\物理\\人教 必修第三册 苏京\\左括.TIF"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"I:\\王真\\2021\\同步\\物理\\人教 必修第三册 苏京\\word\\左括.TIF"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106680"/>
            <wp:effectExtent l="0" t="0" r="0" b="0"/>
            <wp:docPr id="10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"I:\\王真\\2021\\同步\\物理\\人教 必修第三册 苏京\\右括.TIF"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"I:\\王真\\2021\\同步\\物理\\人教 必修第三册 苏京\\右括.TIF"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"I:\\王真\\2021\\同步\\物理\\人教 必修第三册 苏京\\word\\右括.TIF"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"D:\\张梦梦\\2021\\同步\\看ppt\\物理\\物理 人教 必修第三册 苏京\\全书完整的Word版文档\\第十一章\\右括.TIF"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"C:\\Users\\DELL\\Desktop\\步步高必修3\\2022春 物理 人教版 必修第三册 苏京（新教材）\\全书完整的Word版文档\\第十一章\\右括.TIF"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0480" cy="91440"/>
            <wp:effectExtent l="0" t="0" r="0" b="0"/>
            <wp:docPr id="9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4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 w14:paraId="3EF2BDC1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b/>
          <w:bCs/>
        </w:rPr>
        <w:t>电流的方向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规定正电荷定向移动的方向为电流的方向，则负电荷定向移动的方向与电流的方向相反．</w:t>
      </w:r>
    </w:p>
    <w:p w14:paraId="2F15C51C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hint="eastAsia" w:ascii="Times New Roman" w:hAnsi="Times New Roman" w:cs="Times New Roman"/>
          <w:b/>
          <w:bCs/>
        </w:rPr>
        <w:t>电流的大小</w:t>
      </w:r>
    </w:p>
    <w:p w14:paraId="2E8356C8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定义式：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q,t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.用该式计算出的电流时间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内的平均值．对于恒定电流，电流的瞬时值与平均值相等．</w:t>
      </w:r>
    </w:p>
    <w:p w14:paraId="61CFE40E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b/>
          <w:bCs/>
        </w:rPr>
        <w:t>电流是标量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电流虽然有方向，但它不是矢量而是标量．</w:t>
      </w:r>
    </w:p>
    <w:p w14:paraId="61B686DD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</w:t>
      </w:r>
      <w:r>
        <w:rPr>
          <w:rFonts w:hint="eastAsia" w:ascii="Times New Roman" w:hAnsi="Times New Roman" w:cs="Times New Roman"/>
        </w:rPr>
        <w:t>1：</w:t>
      </w:r>
      <w:r>
        <w:rPr>
          <w:rFonts w:ascii="Times New Roman" w:hAnsi="Times New Roman" w:cs="Times New Roman"/>
        </w:rPr>
        <w:t>关于电流，下列说法正确的是(　　)</w:t>
      </w:r>
    </w:p>
    <w:p w14:paraId="22F17440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A．规定负电荷定向移动的方向为电流的方向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B．电流的单位是伏特</w:t>
      </w:r>
    </w:p>
    <w:p w14:paraId="14080134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 mA＝1 000 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D．电源在电路中的作用是保持导体两端有电压，使导体中有持续的电流</w:t>
      </w:r>
    </w:p>
    <w:p w14:paraId="70A63A37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例2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在示波管中，电子枪2 s内发射了6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>个电子，则示波管中电流的大小为(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＝1.6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－19</w:t>
      </w:r>
      <w:r>
        <w:rPr>
          <w:rFonts w:ascii="Times New Roman" w:hAnsi="Times New Roman" w:cs="Times New Roman"/>
        </w:rPr>
        <w:t xml:space="preserve"> C)(　　)</w:t>
      </w:r>
    </w:p>
    <w:p w14:paraId="57419B51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A．4.8</w:t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A            B．3</w:t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－13</w:t>
      </w:r>
      <w:r>
        <w:rPr>
          <w:rFonts w:ascii="Times New Roman" w:hAnsi="Times New Roman" w:cs="Times New Roman"/>
        </w:rPr>
        <w:t xml:space="preserve"> A             C．3</w:t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D．9.6</w:t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A</w:t>
      </w:r>
    </w:p>
    <w:p w14:paraId="5B9EF54A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</w:t>
      </w:r>
      <w:r>
        <w:rPr>
          <w:rFonts w:hint="eastAsia" w:ascii="Times New Roman" w:hAnsi="Times New Roman" w:cs="Times New Roman"/>
        </w:rPr>
        <w:t>3：</w:t>
      </w:r>
      <w:r>
        <w:rPr>
          <w:rFonts w:ascii="Times New Roman" w:hAnsi="Times New Roman" w:cs="Times New Roman"/>
        </w:rPr>
        <w:t>如图所示，电解槽内有一价的电解溶液，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时间内通过溶液内横截面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的正离子数是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，负离子数是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，设元电荷的电荷量为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，以下说法正确的是(　　)</w:t>
      </w:r>
    </w:p>
    <w:p w14:paraId="09E0F3B2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A．正离子定向移动形成电流，方向从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，负离子定向移动形成电流，方向从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A</w:t>
      </w:r>
    </w:p>
    <w:p w14:paraId="062C242B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106680</wp:posOffset>
            </wp:positionV>
            <wp:extent cx="1014730" cy="671830"/>
            <wp:effectExtent l="0" t="0" r="6350" b="13970"/>
            <wp:wrapTight wrapText="bothSides">
              <wp:wrapPolygon>
                <wp:start x="0" y="0"/>
                <wp:lineTo x="0" y="21069"/>
                <wp:lineTo x="21411" y="21069"/>
                <wp:lineTo x="21411" y="0"/>
                <wp:lineTo x="0" y="0"/>
              </wp:wrapPolygon>
            </wp:wrapTight>
            <wp:docPr id="99" name="图片 5" descr="A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5" descr="A3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B．溶液内正、负离子沿相反方向运动，电流相互抵消</w:t>
      </w:r>
    </w:p>
    <w:p w14:paraId="70661975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C．溶液内电流方向从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e,t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 w14:paraId="67C7F66E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D．溶液内电流方向从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</w:rPr>
        <w:instrText xml:space="preserve">e,t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 w14:paraId="1AE12D79">
      <w:pPr>
        <w:pStyle w:val="13"/>
        <w:tabs>
          <w:tab w:val="left" w:pos="3402"/>
        </w:tabs>
        <w:snapToGrid w:val="0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二、电流的微观表达式</w:t>
      </w:r>
    </w:p>
    <w:p w14:paraId="70D8E6CA">
      <w:pPr>
        <w:pStyle w:val="13"/>
        <w:tabs>
          <w:tab w:val="left" w:pos="3402"/>
        </w:tabs>
        <w:snapToGrid w:val="0"/>
        <w:rPr>
          <w:rFonts w:hAnsi="宋体" w:cs="Times New Roman"/>
        </w:rPr>
      </w:pPr>
      <w:r>
        <w:rPr>
          <w:rFonts w:hAnsi="宋体" w:cs="Times New Roman"/>
        </w:rPr>
        <w:t>1．电流的微观表达式的推导</w:t>
      </w:r>
    </w:p>
    <w:p w14:paraId="2230C86B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如图所示，AD表示粗细均匀的一段长为l的导体，两端加一定的电压，导体中的自由电荷沿导体定向移动的速率为v，导体的横截面积为S，导体单位体积内的自由电荷数为n，每个自由电荷的电荷量大小为q.</w:t>
      </w:r>
    </w:p>
    <w:p w14:paraId="7F30AB8A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则：导体AD内的自由电荷全部通过横截面D所用的时间t＝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\f(l,v)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.导体AD内的自由电荷总数N＝nlS</w:t>
      </w:r>
    </w:p>
    <w:p w14:paraId="0FCC686A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4780915</wp:posOffset>
            </wp:positionH>
            <wp:positionV relativeFrom="paragraph">
              <wp:posOffset>6985</wp:posOffset>
            </wp:positionV>
            <wp:extent cx="1067435" cy="655320"/>
            <wp:effectExtent l="0" t="0" r="0" b="0"/>
            <wp:wrapTight wrapText="bothSides">
              <wp:wrapPolygon>
                <wp:start x="0" y="0"/>
                <wp:lineTo x="0" y="20721"/>
                <wp:lineTo x="21202" y="20721"/>
                <wp:lineTo x="21202" y="0"/>
                <wp:lineTo x="0" y="0"/>
              </wp:wrapPolygon>
            </wp:wrapTight>
            <wp:docPr id="91" name="图片 6" descr="A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6" descr="A3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总电荷量Q＝Nq＝nlSq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此导体中的电流I＝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\f(Q,t)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\f(nlSq,\f(l,v))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＝nqSv.</w:t>
      </w:r>
    </w:p>
    <w:p w14:paraId="488FFCB9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2．电流的微观表达式I＝nqSv的理解</w:t>
      </w:r>
    </w:p>
    <w:p w14:paraId="51DE1154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(1)I＝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\f(q,t)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是电流的定义式，I＝nqvS是电流的决定式，因此I与通过导体横截面的电荷量q及时间t无关，从微观上看，电流决定于导体中单位体积内的自由电荷数n、每个自由电荷的电荷量大小q、定向移动的速率v，还与导体的横截面积S有关．</w:t>
      </w:r>
    </w:p>
    <w:p w14:paraId="0E1C59E0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表示电荷定向移动的速率．自由电荷在不停地做无规则的热运动，其速率为热运动的速率，电流是自由电荷在热运动的基础上向某一方向定向移动形成的．</w:t>
      </w:r>
    </w:p>
    <w:p w14:paraId="2AA90D83">
      <w:pPr>
        <w:pStyle w:val="13"/>
        <w:tabs>
          <w:tab w:val="left" w:pos="3402"/>
        </w:tabs>
        <w:snapToGrid w:val="0"/>
        <w:rPr>
          <w:rFonts w:hAnsi="宋体" w:cs="Times New Roman"/>
        </w:rPr>
      </w:pPr>
      <w:r>
        <w:rPr>
          <w:rFonts w:hAnsi="宋体" w:cs="Times New Roman"/>
        </w:rPr>
        <w:t>3．区别三种速率</w:t>
      </w:r>
    </w:p>
    <w:tbl>
      <w:tblPr>
        <w:tblStyle w:val="22"/>
        <w:tblW w:w="8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6327"/>
      </w:tblGrid>
      <w:tr w14:paraId="65C7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3F717773">
            <w:pPr>
              <w:pStyle w:val="1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自由电荷定向移动速率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4211311C">
            <w:pPr>
              <w:pStyle w:val="1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自由电荷定向移动形成电流，其中自由电荷定向移动速率的数量级一般为10</w:t>
            </w:r>
            <w:r>
              <w:rPr>
                <w:rFonts w:ascii="Times New Roman" w:hAnsi="Times New Roman" w:cs="Times New Roman"/>
                <w:vertAlign w:val="superscript"/>
              </w:rPr>
              <w:t>－4</w:t>
            </w:r>
            <w:r>
              <w:rPr>
                <w:rFonts w:ascii="Times New Roman" w:hAnsi="Times New Roman" w:cs="Times New Roman"/>
              </w:rPr>
              <w:t xml:space="preserve"> m/s</w:t>
            </w:r>
          </w:p>
        </w:tc>
      </w:tr>
      <w:tr w14:paraId="2AE1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4165CBF0">
            <w:pPr>
              <w:pStyle w:val="1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电子热运动速率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7189D8CD">
            <w:pPr>
              <w:pStyle w:val="1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导体内的自由电子在永不停息地做无规则的热运动，由于热运动，自由电子向各个方向运动的机会相等，故不能形成电流，常温下电子热运动速率的数量级为10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m/s</w:t>
            </w:r>
          </w:p>
        </w:tc>
      </w:tr>
      <w:tr w14:paraId="47A6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66716684">
            <w:pPr>
              <w:pStyle w:val="13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电场传播速率(或电流传导速率)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7AB13D6C">
            <w:pPr>
              <w:pStyle w:val="13"/>
              <w:tabs>
                <w:tab w:val="left" w:pos="3402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等于光速．闭合开关的瞬间，电路中各处以真空中光速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的速度建立恒定电场，在恒定电场的作用下，电路中各处的自由电子几乎同时开始定向运动，整个电路也就几乎同时形成了电流</w:t>
            </w:r>
          </w:p>
        </w:tc>
      </w:tr>
    </w:tbl>
    <w:p w14:paraId="77E35462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例4：</w:t>
      </w:r>
      <w:r>
        <w:rPr>
          <w:rFonts w:ascii="Times New Roman" w:hAnsi="Times New Roman" w:cs="Times New Roman"/>
        </w:rPr>
        <w:t>某根导线的横截面积为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，通过的电流为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.已知该导线材料密度为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，摩尔质量为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，电子电荷量为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，阿伏加德罗常数为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，设每个原子只提供一个自由电子，则该导线中自由电子定向移动的速率为(　　)</w:t>
      </w:r>
    </w:p>
    <w:p w14:paraId="1E843CC0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MI,ρN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Se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MIN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,ρSe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IN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,MρSe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IN</w:instrText>
      </w:r>
      <w:r>
        <w:rPr>
          <w:rFonts w:ascii="Times New Roman" w:hAnsi="Times New Roman" w:cs="Times New Roman"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Se,Mρ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 w14:paraId="24A333E6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针对训练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有一横截面积为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的铜导线，流经其中的电流强度为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，设每单位体积的导线中有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个自由电子，电子的电荷量为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，此时电子的定向移动速度为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，在Δ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时间内，通过导线横截面的自由电子数目可表示为(　　)</w:t>
      </w:r>
    </w:p>
    <w:p w14:paraId="2A1F52A2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3856990</wp:posOffset>
            </wp:positionH>
            <wp:positionV relativeFrom="paragraph">
              <wp:posOffset>9525</wp:posOffset>
            </wp:positionV>
            <wp:extent cx="2205355" cy="1028700"/>
            <wp:effectExtent l="0" t="0" r="4445" b="0"/>
            <wp:wrapTight wrapText="bothSides">
              <wp:wrapPolygon>
                <wp:start x="0" y="0"/>
                <wp:lineTo x="0" y="21200"/>
                <wp:lineTo x="21457" y="21200"/>
                <wp:lineTo x="21457" y="0"/>
                <wp:lineTo x="0" y="0"/>
              </wp:wrapPolygon>
            </wp:wrapTight>
            <wp:docPr id="104" name="图片 7" descr="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7" descr="新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neS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B．</w:t>
      </w:r>
      <w:r>
        <w:rPr>
          <w:rFonts w:ascii="Times New Roman" w:hAnsi="Times New Roman" w:cs="Times New Roman"/>
          <w:i/>
        </w:rPr>
        <w:t>n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        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t,Se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t,e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 w14:paraId="261ED1DB">
      <w:pPr>
        <w:pStyle w:val="13"/>
        <w:tabs>
          <w:tab w:val="left" w:pos="3402"/>
        </w:tabs>
        <w:snapToGrid w:val="0"/>
        <w:rPr>
          <w:rFonts w:hAnsi="宋体" w:cs="Times New Roman"/>
          <w:b/>
          <w:bCs/>
        </w:rPr>
      </w:pPr>
      <w:r>
        <w:rPr>
          <w:rFonts w:hAnsi="宋体" w:cs="Times New Roman"/>
          <w:b/>
          <w:bCs/>
        </w:rPr>
        <w:t>三、电池的容量</w:t>
      </w:r>
    </w:p>
    <w:p w14:paraId="2F091073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1．定义：电池放电时输出的总电荷量；</w:t>
      </w:r>
    </w:p>
    <w:p w14:paraId="0A3DE376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2．单位：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安时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(A·h)或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毫安时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(mA·h)．</w:t>
      </w:r>
    </w:p>
    <w:p w14:paraId="13FA4C48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例5：</w:t>
      </w:r>
      <w:r>
        <w:rPr>
          <w:rFonts w:ascii="Times New Roman" w:hAnsi="Times New Roman" w:cs="Times New Roman"/>
        </w:rPr>
        <w:t>如图是某品牌电动汽车的标识牌，以下说法错误的是(　　</w:t>
      </w:r>
      <w:r>
        <w:rPr>
          <w:rFonts w:hint="eastAsia" w:ascii="Times New Roman" w:hAnsi="Times New Roman" w:cs="Times New Roman"/>
        </w:rPr>
        <w:t>)</w:t>
      </w:r>
    </w:p>
    <w:p w14:paraId="159D987E">
      <w:pPr>
        <w:pStyle w:val="13"/>
        <w:numPr>
          <w:ilvl w:val="0"/>
          <w:numId w:val="1"/>
        </w:numPr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该电池的容量为60 A·h</w:t>
      </w:r>
      <w:r>
        <w:rPr>
          <w:rFonts w:hint="eastAsia" w:ascii="Times New Roman" w:hAnsi="Times New Roman" w:cs="Times New Roman"/>
        </w:rPr>
        <w:t xml:space="preserve">                    </w:t>
      </w:r>
    </w:p>
    <w:p w14:paraId="41438D9C">
      <w:pPr>
        <w:pStyle w:val="13"/>
        <w:numPr>
          <w:numId w:val="0"/>
        </w:numPr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B．该电池以6 A的电流放电，可以工作10 h</w:t>
      </w:r>
    </w:p>
    <w:p w14:paraId="7818D302">
      <w:pPr>
        <w:pStyle w:val="13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C．该电池以6 A的电流放电，可以工作60 h</w:t>
      </w:r>
      <w:r>
        <w:rPr>
          <w:rFonts w:hint="eastAsia" w:ascii="Times New Roman" w:hAnsi="Times New Roman" w:cs="Times New Roman"/>
        </w:rPr>
        <w:t xml:space="preserve">   </w:t>
      </w:r>
    </w:p>
    <w:p w14:paraId="0CCB7864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D．该电池充满电可贮存的电荷量为2.16</w:t>
      </w:r>
      <w:r>
        <w:rPr>
          <w:rFonts w:hAnsi="宋体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C</w:t>
      </w:r>
    </w:p>
    <w:p w14:paraId="420BBC8E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 w14:paraId="05F6F781">
      <w:pPr>
        <w:pStyle w:val="13"/>
        <w:tabs>
          <w:tab w:val="left" w:pos="3402"/>
        </w:tabs>
        <w:snapToGrid w:val="0"/>
        <w:rPr>
          <w:rFonts w:ascii="Times New Roman" w:hAnsi="Times New Roman" w:cs="Times New Roman"/>
        </w:rPr>
      </w:pPr>
      <w:bookmarkStart w:id="4" w:name="_GoBack"/>
      <w:bookmarkEnd w:id="4"/>
    </w:p>
    <w:p w14:paraId="5C4C785A">
      <w:pPr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 w14:paraId="071DDA37">
      <w:pPr>
        <w:pStyle w:val="13"/>
        <w:snapToGrid w:val="0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ascii="黑体" w:hAnsi="黑体" w:eastAsia="黑体"/>
          <w:b/>
          <w:bCs/>
          <w:sz w:val="24"/>
          <w:szCs w:val="24"/>
        </w:rPr>
        <w:t>_________________________________________________________________</w:t>
      </w:r>
    </w:p>
    <w:p w14:paraId="6C4486B1">
      <w:pPr>
        <w:rPr>
          <w:rFonts w:hint="eastAsia"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__________________________________________________________________________</w:t>
      </w:r>
      <w:bookmarkStart w:id="3" w:name="_Toc6942"/>
      <w:bookmarkEnd w:id="3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2559804"/>
      <w:docPartObj>
        <w:docPartGallery w:val="autotext"/>
      </w:docPartObj>
    </w:sdtPr>
    <w:sdtContent>
      <w:p w14:paraId="1A1EC41F">
        <w:pPr>
          <w:pStyle w:val="1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9EC93"/>
    <w:multiLevelType w:val="singleLevel"/>
    <w:tmpl w:val="5A89EC93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2YjIyNDVlYzc1NzczYzc5NzEyZWRhYmRiOGVjZmMifQ=="/>
    <w:docVar w:name="KSO_WPS_MARK_KEY" w:val="9d970f29-7947-4f7f-bc52-35dee9d951e0"/>
  </w:docVars>
  <w:rsids>
    <w:rsidRoot w:val="00571A7E"/>
    <w:rsid w:val="002535A4"/>
    <w:rsid w:val="002731A2"/>
    <w:rsid w:val="002C7D68"/>
    <w:rsid w:val="00435D05"/>
    <w:rsid w:val="00435F80"/>
    <w:rsid w:val="0044681E"/>
    <w:rsid w:val="00480E8D"/>
    <w:rsid w:val="004D3CDD"/>
    <w:rsid w:val="0050154E"/>
    <w:rsid w:val="005667A5"/>
    <w:rsid w:val="00571A7E"/>
    <w:rsid w:val="005F7962"/>
    <w:rsid w:val="00697D16"/>
    <w:rsid w:val="006D7600"/>
    <w:rsid w:val="00754B6F"/>
    <w:rsid w:val="007650EF"/>
    <w:rsid w:val="007877C0"/>
    <w:rsid w:val="007D757B"/>
    <w:rsid w:val="00855F25"/>
    <w:rsid w:val="008B13AF"/>
    <w:rsid w:val="00904B5B"/>
    <w:rsid w:val="00973FE8"/>
    <w:rsid w:val="00A956F4"/>
    <w:rsid w:val="00AB477F"/>
    <w:rsid w:val="00C7582B"/>
    <w:rsid w:val="00C82E62"/>
    <w:rsid w:val="00C82EFD"/>
    <w:rsid w:val="00CA0135"/>
    <w:rsid w:val="00E22691"/>
    <w:rsid w:val="079E7134"/>
    <w:rsid w:val="6EF2293B"/>
    <w:rsid w:val="7DF0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7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8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unhideWhenUsed/>
    <w:qFormat/>
    <w:uiPriority w:val="39"/>
    <w:pPr>
      <w:ind w:left="1050"/>
      <w:jc w:val="left"/>
    </w:pPr>
    <w:rPr>
      <w:rFonts w:asciiTheme="minorHAnsi" w:eastAsiaTheme="minorHAnsi"/>
      <w:sz w:val="20"/>
      <w:szCs w:val="20"/>
    </w:rPr>
  </w:style>
  <w:style w:type="paragraph" w:styleId="11">
    <w:name w:val="toc 5"/>
    <w:basedOn w:val="1"/>
    <w:next w:val="1"/>
    <w:unhideWhenUsed/>
    <w:qFormat/>
    <w:uiPriority w:val="39"/>
    <w:pPr>
      <w:ind w:left="630"/>
      <w:jc w:val="left"/>
    </w:pPr>
    <w:rPr>
      <w:rFonts w:asciiTheme="minorHAnsi" w:eastAsiaTheme="minorHAnsi"/>
      <w:sz w:val="20"/>
      <w:szCs w:val="20"/>
    </w:rPr>
  </w:style>
  <w:style w:type="paragraph" w:styleId="12">
    <w:name w:val="toc 3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z w:val="20"/>
      <w:szCs w:val="20"/>
    </w:rPr>
  </w:style>
  <w:style w:type="paragraph" w:styleId="13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14">
    <w:name w:val="toc 8"/>
    <w:basedOn w:val="1"/>
    <w:next w:val="1"/>
    <w:unhideWhenUsed/>
    <w:qFormat/>
    <w:uiPriority w:val="39"/>
    <w:pPr>
      <w:ind w:left="1260"/>
      <w:jc w:val="left"/>
    </w:pPr>
    <w:rPr>
      <w:rFonts w:asciiTheme="minorHAnsi" w:eastAsiaTheme="minorHAnsi"/>
      <w:sz w:val="20"/>
      <w:szCs w:val="20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spacing w:before="360"/>
      <w:jc w:val="left"/>
    </w:pPr>
    <w:rPr>
      <w:rFonts w:asciiTheme="majorHAnsi" w:eastAsiaTheme="majorHAnsi"/>
      <w:b/>
      <w:bCs/>
      <w:caps/>
      <w:sz w:val="24"/>
    </w:rPr>
  </w:style>
  <w:style w:type="paragraph" w:styleId="18">
    <w:name w:val="toc 4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sz w:val="20"/>
      <w:szCs w:val="20"/>
    </w:rPr>
  </w:style>
  <w:style w:type="paragraph" w:styleId="19">
    <w:name w:val="toc 6"/>
    <w:basedOn w:val="1"/>
    <w:next w:val="1"/>
    <w:unhideWhenUsed/>
    <w:qFormat/>
    <w:uiPriority w:val="39"/>
    <w:pPr>
      <w:ind w:left="840"/>
      <w:jc w:val="left"/>
    </w:pPr>
    <w:rPr>
      <w:rFonts w:asciiTheme="minorHAnsi" w:eastAsiaTheme="minorHAnsi"/>
      <w:sz w:val="20"/>
      <w:szCs w:val="20"/>
    </w:rPr>
  </w:style>
  <w:style w:type="paragraph" w:styleId="20">
    <w:name w:val="toc 2"/>
    <w:basedOn w:val="1"/>
    <w:next w:val="1"/>
    <w:unhideWhenUsed/>
    <w:qFormat/>
    <w:uiPriority w:val="39"/>
    <w:pPr>
      <w:spacing w:before="240"/>
      <w:jc w:val="left"/>
    </w:pPr>
    <w:rPr>
      <w:rFonts w:asciiTheme="minorHAnsi" w:eastAsiaTheme="minorHAnsi"/>
      <w:b/>
      <w:bCs/>
      <w:sz w:val="20"/>
      <w:szCs w:val="20"/>
    </w:rPr>
  </w:style>
  <w:style w:type="paragraph" w:styleId="21">
    <w:name w:val="toc 9"/>
    <w:basedOn w:val="1"/>
    <w:next w:val="1"/>
    <w:unhideWhenUsed/>
    <w:qFormat/>
    <w:uiPriority w:val="39"/>
    <w:pPr>
      <w:ind w:left="1470"/>
      <w:jc w:val="left"/>
    </w:pPr>
    <w:rPr>
      <w:rFonts w:asciiTheme="minorHAnsi" w:eastAsiaTheme="minorHAnsi"/>
      <w:sz w:val="20"/>
      <w:szCs w:val="20"/>
    </w:rPr>
  </w:style>
  <w:style w:type="character" w:customStyle="1" w:styleId="24">
    <w:name w:val="页眉 字符"/>
    <w:basedOn w:val="23"/>
    <w:link w:val="16"/>
    <w:qFormat/>
    <w:uiPriority w:val="0"/>
    <w:rPr>
      <w:sz w:val="18"/>
      <w:szCs w:val="18"/>
    </w:rPr>
  </w:style>
  <w:style w:type="character" w:customStyle="1" w:styleId="25">
    <w:name w:val="页脚 字符"/>
    <w:basedOn w:val="23"/>
    <w:link w:val="15"/>
    <w:qFormat/>
    <w:uiPriority w:val="99"/>
    <w:rPr>
      <w:sz w:val="18"/>
      <w:szCs w:val="18"/>
    </w:rPr>
  </w:style>
  <w:style w:type="character" w:customStyle="1" w:styleId="26">
    <w:name w:val="纯文本 字符"/>
    <w:basedOn w:val="23"/>
    <w:link w:val="13"/>
    <w:qFormat/>
    <w:uiPriority w:val="0"/>
    <w:rPr>
      <w:rFonts w:ascii="宋体" w:hAnsi="Courier New" w:eastAsia="宋体" w:cs="Courier New"/>
      <w:szCs w:val="21"/>
    </w:rPr>
  </w:style>
  <w:style w:type="character" w:customStyle="1" w:styleId="27">
    <w:name w:val="latex_linear"/>
    <w:basedOn w:val="23"/>
    <w:qFormat/>
    <w:uiPriority w:val="0"/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  <w:style w:type="paragraph" w:customStyle="1" w:styleId="29">
    <w:name w:val="题干"/>
    <w:basedOn w:val="1"/>
    <w:link w:val="30"/>
    <w:qFormat/>
    <w:uiPriority w:val="0"/>
    <w:pPr>
      <w:tabs>
        <w:tab w:val="left" w:pos="1260"/>
        <w:tab w:val="left" w:pos="2280"/>
        <w:tab w:val="left" w:pos="3440"/>
      </w:tabs>
      <w:autoSpaceDE w:val="0"/>
      <w:autoSpaceDN w:val="0"/>
      <w:adjustRightInd w:val="0"/>
      <w:ind w:hanging="108" w:hangingChars="135"/>
      <w:jc w:val="left"/>
    </w:pPr>
    <w:rPr>
      <w:rFonts w:asciiTheme="minorHAnsi" w:hAnsiTheme="minorHAnsi" w:eastAsiaTheme="minorEastAsia"/>
      <w:color w:val="000000"/>
      <w:kern w:val="0"/>
      <w:szCs w:val="21"/>
      <w:lang w:val="zh-CN"/>
    </w:rPr>
  </w:style>
  <w:style w:type="character" w:customStyle="1" w:styleId="30">
    <w:name w:val="题干 Char"/>
    <w:basedOn w:val="23"/>
    <w:link w:val="29"/>
    <w:qFormat/>
    <w:uiPriority w:val="0"/>
    <w:rPr>
      <w:rFonts w:cs="Times New Roman"/>
      <w:color w:val="000000"/>
      <w:kern w:val="0"/>
      <w:szCs w:val="21"/>
      <w:lang w:val="zh-CN"/>
    </w:rPr>
  </w:style>
  <w:style w:type="character" w:customStyle="1" w:styleId="31">
    <w:name w:val="标题 1 字符"/>
    <w:basedOn w:val="2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字符"/>
    <w:basedOn w:val="2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3">
    <w:name w:val="标题 3 字符"/>
    <w:basedOn w:val="2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4">
    <w:name w:val="标题 4 字符"/>
    <w:basedOn w:val="2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5">
    <w:name w:val="标题 5 字符"/>
    <w:basedOn w:val="23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6">
    <w:name w:val="标题 6 字符"/>
    <w:basedOn w:val="23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7">
    <w:name w:val="标题 7 字符"/>
    <w:basedOn w:val="23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8">
    <w:name w:val="标题 8 字符"/>
    <w:basedOn w:val="23"/>
    <w:link w:val="9"/>
    <w:qFormat/>
    <w:uiPriority w:val="0"/>
    <w:rPr>
      <w:rFonts w:ascii="Arial" w:hAnsi="Arial" w:eastAsia="黑体" w:cs="Times New Roman"/>
      <w:sz w:val="24"/>
      <w:szCs w:val="24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paragraph" w:customStyle="1" w:styleId="4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&#27493;&#27493;&#39640;&#24517;&#20462;3/2022&#26149;%252525252525252525252520&#29289;&#29702;%252525252525252525252520&#20154;&#25945;&#29256;%252525252525252525252520&#24517;&#20462;&#31532;&#19977;&#20876;%252525252525252525252520&#33487;&#20140;&#65288;&#26032;&#25945;&#26448;&#65289;/&#20840;&#20070;&#23436;&#25972;&#30340;Word&#29256;&#25991;&#26723;/&#31532;&#21313;&#19977;&#31456;/&#21491;&#25324;.TIF" TargetMode="External"/><Relationship Id="rId7" Type="http://schemas.openxmlformats.org/officeDocument/2006/relationships/image" Target="media/image2.png"/><Relationship Id="rId6" Type="http://schemas.openxmlformats.org/officeDocument/2006/relationships/image" Target="&#27493;&#27493;&#39640;&#24517;&#20462;3/2022&#26149;%252525252525252525252520&#29289;&#29702;%252525252525252525252520&#20154;&#25945;&#29256;%252525252525252525252520&#24517;&#20462;&#31532;&#19977;&#20876;%252525252525252525252520&#33487;&#20140;&#65288;&#26032;&#25945;&#26448;&#65289;/&#20840;&#20070;&#23436;&#25972;&#30340;Word&#29256;&#25991;&#26723;/&#31532;&#21313;&#19977;&#31456;/&#24038;&#25324;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7180-0599-4827-8D33-B27AD91FA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2000</Words>
  <Characters>2200</Characters>
  <Lines>1634</Lines>
  <Paragraphs>460</Paragraphs>
  <TotalTime>2</TotalTime>
  <ScaleCrop>false</ScaleCrop>
  <LinksUpToDate>false</LinksUpToDate>
  <CharactersWithSpaces>2469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2023-08-07T01:27:00Z</dcterms:created>
  <dc:creator>蔡 伟</dc:creator>
  <cp:lastModifiedBy>柏拉不是图</cp:lastModifiedBy>
  <cp:lastPrinted>2023-08-08T07:21:00Z</cp:lastPrinted>
  <dcterms:modified xsi:type="dcterms:W3CDTF">2025-06-24T07:23:57Z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DD1F3757557041779F01104007866827</vt:lpwstr>
  </property>
  <property fmtid="{D5CDD505-2E9C-101B-9397-08002B2CF9AE}" pid="4" name="KSOTemplateDocerSaveRecord">
    <vt:lpwstr>eyJoZGlkIjoiNzQyMWE4ZjIyM2EzZTFlNmVjYWM5NjY5ZWY1NzdiNjAiLCJ1c2VySWQiOiI3NTEyODEwMDkifQ==</vt:lpwstr>
  </property>
</Properties>
</file>