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54B1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53D7295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GoBack"/>
      <w:r>
        <w:rPr>
          <w:rFonts w:hint="eastAsia" w:ascii="黑体" w:hAnsi="黑体" w:cs="黑体"/>
          <w:sz w:val="28"/>
          <w:szCs w:val="28"/>
          <w:lang w:val="en-US" w:eastAsia="zh-CN"/>
        </w:rPr>
        <w:t>复习：</w:t>
      </w:r>
      <w:r>
        <w:rPr>
          <w:rFonts w:hint="eastAsia" w:ascii="黑体" w:hAnsi="黑体" w:eastAsia="黑体" w:cs="黑体"/>
          <w:sz w:val="28"/>
          <w:szCs w:val="28"/>
        </w:rPr>
        <w:t>空间角与空间距离</w:t>
      </w:r>
      <w:bookmarkEnd w:id="3"/>
    </w:p>
    <w:p w14:paraId="3F071DDB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29CD085F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4D5171F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654E6338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053CE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1.熟练掌握异面直线所成角、直线与平面所成角、二面角的定义、取值范围及几何特征，能准确区分不同空间角的概念与形成方式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；</w:t>
      </w:r>
    </w:p>
    <w:p w14:paraId="11E87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b w:val="0"/>
          <w:bCs/>
          <w:sz w:val="21"/>
          <w:szCs w:val="21"/>
        </w:rPr>
        <w:t>牢固掌握点到直线、点到平面、异面直线间距离，以及平行直线、平行平面间距离的定义和性质，清晰各距离概念的适用场景和相互联系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；</w:t>
      </w:r>
    </w:p>
    <w:p w14:paraId="24426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b w:val="0"/>
          <w:bCs/>
          <w:sz w:val="21"/>
          <w:szCs w:val="21"/>
        </w:rPr>
        <w:t>系统梳理向量法、几何法求解空间角与距离的公式和原理，包括向量的夹角公式、点到平面距离的向量公式，以及三垂线定理、等体积法等几何方法的理论依据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.</w:t>
      </w:r>
    </w:p>
    <w:p w14:paraId="532F4B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24632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二、必备知识</w:t>
      </w:r>
    </w:p>
    <w:p w14:paraId="588F2237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1.异面直线所成的角</w:t>
      </w:r>
    </w:p>
    <w:p w14:paraId="1780EC3E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instrText xml:space="preserve"> = 1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⑴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定义：设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10"/>
          <w:sz w:val="21"/>
          <w:szCs w:val="21"/>
        </w:rPr>
        <w:object>
          <v:shape id="_x0000_i102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是两条异面直线，经过空间任一点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6"/>
          <w:sz w:val="21"/>
          <w:szCs w:val="21"/>
        </w:rPr>
        <w:object>
          <v:shape id="_x0000_i1027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作直线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10"/>
          <w:sz w:val="21"/>
          <w:szCs w:val="21"/>
        </w:rPr>
        <w:object>
          <v:shape id="_x0000_i1028" o:spt="75" type="#_x0000_t75" style="height:15pt;width:5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，把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6"/>
          <w:sz w:val="21"/>
          <w:szCs w:val="21"/>
        </w:rPr>
        <w:object>
          <v:shape id="_x0000_i102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6"/>
          <w:sz w:val="21"/>
          <w:szCs w:val="21"/>
        </w:rPr>
        <w:object>
          <v:shape id="_x0000_i103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所成的锐角（或直角）叫做异面直线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6"/>
          <w:sz w:val="21"/>
          <w:szCs w:val="21"/>
        </w:rPr>
        <w:object>
          <v:shape id="_x0000_i103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与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position w:val="-6"/>
          <w:sz w:val="21"/>
          <w:szCs w:val="21"/>
        </w:rPr>
        <w:object>
          <v:shape id="_x0000_i1032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所成的角（或夹角）．</w:t>
      </w:r>
    </w:p>
    <w:p w14:paraId="6A1AA29D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instrText xml:space="preserve"> = 2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⑵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>范围：</w:t>
      </w:r>
      <m:oMath>
        <m:r>
          <m:rPr>
            <m:sty m:val="p"/>
          </m:rPr>
          <w:rPr>
            <w:rFonts w:hint="default" w:ascii="Cambria Math" w:hAnsi="Cambria Math" w:eastAsia="宋体" w:cs="宋体"/>
            <w:color w:val="000000"/>
            <w:sz w:val="21"/>
            <w:szCs w:val="21"/>
          </w:rPr>
          <m:t>(0,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color w:val="000000"/>
                <w:sz w:val="21"/>
                <w:szCs w:val="21"/>
              </w:rPr>
              <m:t>π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color w:val="00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color w:val="000000"/>
            <w:sz w:val="21"/>
            <w:szCs w:val="21"/>
          </w:rPr>
          <m:t>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1"/>
          <w:szCs w:val="21"/>
        </w:rPr>
        <w:t xml:space="preserve">. </w:t>
      </w:r>
    </w:p>
    <w:p w14:paraId="00D9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</w:p>
    <w:p w14:paraId="3F444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2.直线与平面所成的角</w:t>
      </w:r>
    </w:p>
    <w:p w14:paraId="5C150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5088890</wp:posOffset>
            </wp:positionH>
            <wp:positionV relativeFrom="paragraph">
              <wp:posOffset>347345</wp:posOffset>
            </wp:positionV>
            <wp:extent cx="1040765" cy="720090"/>
            <wp:effectExtent l="0" t="0" r="635" b="381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294640</wp:posOffset>
            </wp:positionV>
            <wp:extent cx="1155065" cy="828040"/>
            <wp:effectExtent l="0" t="0" r="635" b="1016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1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平面的一条与平面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交于点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,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AO⊥α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于点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,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即为直线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在平面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上的射影，直线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与其投影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所成的锐角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∠ABO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，叫做直线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和平面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所成的角.</w:t>
      </w:r>
    </w:p>
    <w:p w14:paraId="7AA5C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直线与平面平行，所成角为0，直线与平面垂直，所成角为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color w:val="000000"/>
                <w:sz w:val="21"/>
                <w:szCs w:val="21"/>
              </w:rPr>
              <m:t>π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color w:val="00000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.</w:t>
      </w:r>
    </w:p>
    <w:p w14:paraId="48531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2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⑵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范围：</w:t>
      </w:r>
      <m:oMath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0,</m:t>
            </m:r>
            <m:f>
              <m:f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 xml:space="preserve">. </w:t>
      </w:r>
    </w:p>
    <w:p w14:paraId="6059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</w:p>
    <w:p w14:paraId="1001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3.二面角</w:t>
      </w:r>
    </w:p>
    <w:p w14:paraId="3EC4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1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在二面角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α−l−β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的棱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上任取一点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，以点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为垂足，在半平面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α,β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内分别作垂直于棱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的射线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OA,OB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，则射线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OA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OB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构成的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∠AOB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,叫做二面角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α−l−β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的平面角.平面角为直角的二面角为直二面角.</w:t>
      </w:r>
    </w:p>
    <w:p w14:paraId="64FF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2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⑵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范围：</w:t>
      </w:r>
      <m:oMath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0,π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．</w:t>
      </w:r>
    </w:p>
    <w:p w14:paraId="2B50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</w:p>
    <w:p w14:paraId="6D6A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4.点到平面的距离与直线到平面的距离</w:t>
      </w:r>
    </w:p>
    <w:p w14:paraId="410917F3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1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P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到直线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的距离</w:t>
      </w:r>
    </w:p>
    <w:p w14:paraId="4690D1A3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313055</wp:posOffset>
            </wp:positionV>
            <wp:extent cx="894715" cy="791845"/>
            <wp:effectExtent l="0" t="0" r="6985" b="8255"/>
            <wp:wrapSquare wrapText="bothSides"/>
            <wp:docPr id="13" name="图片 13" descr="说明: 3c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说明: 3c3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335915</wp:posOffset>
            </wp:positionV>
            <wp:extent cx="1115060" cy="791845"/>
            <wp:effectExtent l="0" t="0" r="2540" b="8255"/>
            <wp:wrapSquare wrapText="bothSides"/>
            <wp:docPr id="12" name="图片 12" descr="说明: 3c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3c3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设</w:t>
      </w:r>
      <m:oMath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AP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是直线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的单位方向向量，则向量</w:t>
      </w:r>
      <m:oMath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AP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在直线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上的投影向量</w:t>
      </w:r>
      <m:oMath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AQ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acc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∙</m:t>
            </m:r>
            <m:acc>
              <m:accPr>
                <m:chr m:val="⃗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u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acc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.在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Rt△APQ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中，由勾股定理，得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PQ=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宋体"/>
                            <w:sz w:val="21"/>
                            <w:szCs w:val="21"/>
                          </w:rPr>
                          <m:t>AP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e>
                    </m:acc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宋体"/>
                            <w:sz w:val="21"/>
                            <w:szCs w:val="21"/>
                          </w:rPr>
                          <m:t>AQ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e>
                    </m:acc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宋体"/>
                            <w:sz w:val="21"/>
                            <w:szCs w:val="21"/>
                          </w:rPr>
                          <m:t>a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e>
                    </m:acc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宋体"/>
                            <w:sz w:val="21"/>
                            <w:szCs w:val="21"/>
                          </w:rPr>
                          <m:t>u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e>
                    </m:acc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.</w:t>
      </w:r>
    </w:p>
    <w:p w14:paraId="7FF1AC8E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</w:p>
    <w:p w14:paraId="505D0D2C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</w:p>
    <w:p w14:paraId="65F7DAA8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</w:p>
    <w:p w14:paraId="370783FE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2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⑵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P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到平面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的距离</w:t>
      </w:r>
    </w:p>
    <w:p w14:paraId="1FCA0A3C">
      <w:pPr>
        <w:pStyle w:val="5"/>
        <w:keepNext w:val="0"/>
        <w:keepLines w:val="0"/>
        <w:pageBreakBefore w:val="0"/>
        <w:widowControl w:val="0"/>
        <w:tabs>
          <w:tab w:val="left" w:pos="1701"/>
          <w:tab w:val="left" w:pos="255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若平面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的法向量为</w:t>
      </w:r>
      <m:oMath>
        <m:acc>
          <m:accPr>
            <m:chr m:val="⃗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acc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，平面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内一点为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，则平面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外一点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P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到平面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α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的距离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d=</m:t>
        </m:r>
        <m:d>
          <m:dPr>
            <m:begChr m:val="|"/>
            <m:endChr m:val="|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acc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AP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acc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∙</m:t>
            </m:r>
            <m:f>
              <m:f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num>
              <m:den>
                <m:d>
                  <m:dPr>
                    <m:begChr m:val="|"/>
                    <m:endChr m:val="|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宋体"/>
                            <w:sz w:val="21"/>
                            <w:szCs w:val="21"/>
                          </w:rPr>
                          <m:t>n</m:t>
                        </m:r>
                        <m:ctrlPr>
                          <w:rPr>
                            <w:rFonts w:hint="eastAsia" w:ascii="Cambria Math" w:hAnsi="Cambria Math" w:eastAsia="宋体" w:cs="宋体"/>
                            <w:b w:val="0"/>
                            <w:bCs/>
                            <w:i w:val="0"/>
                            <w:iCs w:val="0"/>
                            <w:sz w:val="21"/>
                            <w:szCs w:val="21"/>
                          </w:rPr>
                        </m:ctrlPr>
                      </m:e>
                    </m:acc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  <w:sz w:val="21"/>
                        <w:szCs w:val="21"/>
                      </w:rPr>
                      <m:t>AP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∙</m:t>
                </m:r>
                <m:acc>
                  <m:accPr>
                    <m:chr m:val="⃗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宋体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，如图所示.</w:t>
      </w:r>
    </w:p>
    <w:p w14:paraId="2702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instrText xml:space="preserve"> = 3 \* GB2 </w:instrTex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⑶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</w:rPr>
        <w:t>线面间距离、面面间距离与线线间、点线间距离常常可以相互转化.</w:t>
      </w:r>
    </w:p>
    <w:p w14:paraId="06FD0B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03D9A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三、典型例题</w:t>
      </w:r>
    </w:p>
    <w:p w14:paraId="4C42C8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考点一：空间几何体中求夹角</w:t>
      </w:r>
    </w:p>
    <w:p w14:paraId="62D8C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在四棱柱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ABCD−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中，底面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是正方形，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⊥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E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是侧面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CD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的中心，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D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=2AB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，则异面直线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与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所成角的余弦值是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drawing>
          <wp:inline distT="0" distB="0" distL="0" distR="0">
            <wp:extent cx="38100" cy="38100"/>
            <wp:effectExtent l="0" t="0" r="0" b="0"/>
            <wp:docPr id="46" name="图片 4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latexIm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(    )</w:t>
      </w:r>
    </w:p>
    <w:p w14:paraId="092905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6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6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9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6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18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6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</w:p>
    <w:p w14:paraId="22A13B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1D893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bookmarkStart w:id="0" w:name="86ce5742-52d9-47d7-8492-bd800932ba1e"/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如图，已知四边形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是边长为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的菱形，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∠ABC=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60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∘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EF//AC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AC=2EF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AEFC⊥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AE=AB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</w:p>
    <w:p w14:paraId="6574880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133985</wp:posOffset>
            </wp:positionV>
            <wp:extent cx="1262380" cy="1115695"/>
            <wp:effectExtent l="0" t="0" r="7620" b="1905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求证：平面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BED⊥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AEFC;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AE⊥AC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，求二面角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A−CF−D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的余弦值．</w:t>
      </w:r>
      <w:bookmarkEnd w:id="0"/>
    </w:p>
    <w:p w14:paraId="43FD283F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3B10A6A9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3D79BBE9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13920C45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   </w:t>
      </w:r>
    </w:p>
    <w:p w14:paraId="1C0AE61A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</w:p>
    <w:p w14:paraId="3B371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687223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  <w:t>考点二：空间几何体中求距离</w:t>
      </w:r>
    </w:p>
    <w:p w14:paraId="1C21C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453390</wp:posOffset>
            </wp:positionV>
            <wp:extent cx="822325" cy="899795"/>
            <wp:effectExtent l="0" t="0" r="3175" b="1905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如图，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ABCD−EFGH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是棱长为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的正方体，若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P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在正方体内部且满足</w:t>
      </w:r>
      <m:oMath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AP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AB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AD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groupCh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groupChr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AE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groupCh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P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的距离为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drawing>
          <wp:inline distT="0" distB="0" distL="0" distR="0">
            <wp:extent cx="38100" cy="38100"/>
            <wp:effectExtent l="0" t="0" r="0" b="0"/>
            <wp:docPr id="48128" name="图片 4812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8" name="图片 48128" descr="latexIm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(    ) 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br w:type="textWrapping"/>
      </w:r>
    </w:p>
    <w:p w14:paraId="46C71F11"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</w:p>
    <w:p w14:paraId="7D7DF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bookmarkStart w:id="1" w:name="d2d5a742-2daf-4a24-81ee-84d8c436fbae"/>
    </w:p>
    <w:p w14:paraId="24990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如图，在正方体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D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−ABCD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中，棱长为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</w:p>
    <w:p w14:paraId="19018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16510</wp:posOffset>
            </wp:positionV>
            <wp:extent cx="1230630" cy="1259840"/>
            <wp:effectExtent l="0" t="0" r="1270" b="10160"/>
            <wp:wrapSquare wrapText="bothSides"/>
            <wp:docPr id="48131" name="图片 4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图片 481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与直线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所成角的余弦值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;(2)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到平面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的距离．</w:t>
      </w:r>
      <w:bookmarkEnd w:id="1"/>
    </w:p>
    <w:p w14:paraId="2E5B0222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6818C90D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44A4BFD2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53ECB87A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   </w:t>
      </w:r>
    </w:p>
    <w:p w14:paraId="78207B8B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</w:p>
    <w:p w14:paraId="24F0BA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</w:pPr>
      <w:bookmarkStart w:id="2" w:name="14c01fb6-d2a8-49c8-8642-5d0716241b84"/>
    </w:p>
    <w:p w14:paraId="60525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299720</wp:posOffset>
            </wp:positionV>
            <wp:extent cx="1510030" cy="1080135"/>
            <wp:effectExtent l="0" t="0" r="1270" b="12065"/>
            <wp:wrapSquare wrapText="bothSides"/>
            <wp:docPr id="48137" name="图片 48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7" name="图片 481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如图，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AC//ED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AC⊥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BCD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ACDE⊥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ABC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N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分别是边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的中点，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AC=2ED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BC=CD=DE=1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</w:p>
    <w:p w14:paraId="6F16D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证明：平面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DMN//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AEB;</m:t>
        </m:r>
      </m:oMath>
    </w:p>
    <w:p w14:paraId="4BC13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AC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到平面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DEB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的距离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;</m:t>
        </m:r>
      </m:oMath>
    </w:p>
    <w:p w14:paraId="7B63A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(3)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DMN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到平面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AEB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的距离．</w:t>
      </w:r>
      <w:bookmarkEnd w:id="2"/>
    </w:p>
    <w:p w14:paraId="717BE437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4F59E190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5F6E660B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390C470D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      </w:t>
      </w:r>
    </w:p>
    <w:p w14:paraId="45ABCBFD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                                      </w:t>
      </w:r>
    </w:p>
    <w:p w14:paraId="74B00BA1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</w:p>
    <w:p w14:paraId="05E2DA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68296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四、课堂小结</w:t>
      </w:r>
    </w:p>
    <w:p w14:paraId="2A5BF4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zVlZjY1YTU1MTQ4NWY4YjFjY2M4OThmZmExZTIifQ=="/>
  </w:docVars>
  <w:rsids>
    <w:rsidRoot w:val="00000000"/>
    <w:rsid w:val="09AB7421"/>
    <w:rsid w:val="720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next w:val="1"/>
    <w:unhideWhenUsed/>
    <w:qFormat/>
    <w:uiPriority w:val="0"/>
    <w:rPr>
      <w:rFonts w:ascii="Cambria Math" w:hAnsi="Cambria Math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ut-check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1882</Words>
  <Characters>2648</Characters>
  <Lines>0</Lines>
  <Paragraphs>0</Paragraphs>
  <TotalTime>1</TotalTime>
  <ScaleCrop>false</ScaleCrop>
  <LinksUpToDate>false</LinksUpToDate>
  <CharactersWithSpaces>3877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2025-06-05T10:16:00Z</dcterms:created>
  <dc:creator>YZZX</dc:creator>
  <cp:lastModifiedBy>WPS_1606544948</cp:lastModifiedBy>
  <dcterms:modified xsi:type="dcterms:W3CDTF">2025-06-19T14:28:28Z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A54BEB4111EA438E80972DD34E4CA250_13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