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032256">
      <w:pPr>
        <w:pStyle w:val="3"/>
        <w:keepNext w:val="0"/>
        <w:keepLines w:val="0"/>
        <w:pageBreakBefore w:val="0"/>
        <w:widowControl w:val="0"/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黑体" w:hAnsi="宋体" w:eastAsia="黑体"/>
          <w:b/>
          <w:color w:val="auto"/>
          <w:sz w:val="32"/>
          <w:szCs w:val="32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32"/>
          <w:szCs w:val="32"/>
        </w:rPr>
        <w:t>江苏省仪征中学202</w:t>
      </w:r>
      <w:r>
        <w:rPr>
          <w:rFonts w:hint="eastAsia" w:ascii="黑体" w:hAnsi="宋体" w:eastAsia="黑体"/>
          <w:b/>
          <w:color w:val="auto"/>
          <w:sz w:val="32"/>
          <w:szCs w:val="32"/>
          <w:lang w:val="en-US" w:eastAsia="zh-CN"/>
        </w:rPr>
        <w:t>4</w:t>
      </w:r>
      <w:r>
        <w:rPr>
          <w:rFonts w:hint="eastAsia" w:ascii="黑体" w:hAnsi="宋体" w:eastAsia="黑体"/>
          <w:b/>
          <w:color w:val="auto"/>
          <w:sz w:val="32"/>
          <w:szCs w:val="32"/>
        </w:rPr>
        <w:t>—202</w:t>
      </w:r>
      <w:r>
        <w:rPr>
          <w:rFonts w:hint="eastAsia" w:ascii="黑体" w:hAnsi="宋体" w:eastAsia="黑体"/>
          <w:b/>
          <w:color w:val="auto"/>
          <w:sz w:val="32"/>
          <w:szCs w:val="32"/>
          <w:lang w:val="en-US" w:eastAsia="zh-CN"/>
        </w:rPr>
        <w:t>5</w:t>
      </w:r>
      <w:r>
        <w:rPr>
          <w:rFonts w:hint="eastAsia" w:ascii="黑体" w:hAnsi="宋体" w:eastAsia="黑体"/>
          <w:b/>
          <w:color w:val="auto"/>
          <w:sz w:val="32"/>
          <w:szCs w:val="32"/>
        </w:rPr>
        <w:t>学年度第</w:t>
      </w:r>
      <w:r>
        <w:rPr>
          <w:rFonts w:hint="eastAsia" w:ascii="黑体" w:hAnsi="宋体" w:eastAsia="黑体"/>
          <w:b/>
          <w:color w:val="auto"/>
          <w:sz w:val="32"/>
          <w:szCs w:val="32"/>
          <w:lang w:val="en-US" w:eastAsia="zh-CN"/>
        </w:rPr>
        <w:t>二</w:t>
      </w:r>
      <w:r>
        <w:rPr>
          <w:rFonts w:hint="eastAsia" w:ascii="黑体" w:hAnsi="宋体" w:eastAsia="黑体"/>
          <w:b/>
          <w:color w:val="auto"/>
          <w:sz w:val="32"/>
          <w:szCs w:val="32"/>
        </w:rPr>
        <w:t>学期高</w:t>
      </w:r>
      <w:r>
        <w:rPr>
          <w:rFonts w:hint="eastAsia" w:ascii="黑体" w:hAnsi="宋体" w:eastAsia="黑体"/>
          <w:b/>
          <w:color w:val="auto"/>
          <w:sz w:val="32"/>
          <w:szCs w:val="32"/>
          <w:lang w:val="en-US" w:eastAsia="zh-CN"/>
        </w:rPr>
        <w:t>二</w:t>
      </w:r>
      <w:r>
        <w:rPr>
          <w:rFonts w:hint="eastAsia" w:ascii="黑体" w:hAnsi="宋体" w:eastAsia="黑体"/>
          <w:b/>
          <w:color w:val="auto"/>
          <w:sz w:val="32"/>
          <w:szCs w:val="32"/>
          <w:lang w:eastAsia="zh-CN"/>
        </w:rPr>
        <w:t>地理</w:t>
      </w:r>
      <w:r>
        <w:rPr>
          <w:rFonts w:hint="eastAsia" w:ascii="黑体" w:hAnsi="宋体" w:eastAsia="黑体"/>
          <w:b/>
          <w:color w:val="auto"/>
          <w:sz w:val="32"/>
          <w:szCs w:val="32"/>
          <w:lang w:val="en-US"/>
        </w:rPr>
        <w:t>提升性练习</w:t>
      </w:r>
      <w:r>
        <w:rPr>
          <w:rFonts w:hint="eastAsia" w:ascii="黑体" w:hAnsi="宋体" w:eastAsia="黑体"/>
          <w:b/>
          <w:color w:val="auto"/>
          <w:sz w:val="32"/>
          <w:szCs w:val="32"/>
          <w:lang w:val="en-US" w:eastAsia="zh-CN"/>
        </w:rPr>
        <w:t>17</w:t>
      </w:r>
    </w:p>
    <w:p w14:paraId="30F3E3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研制人：刘</w:t>
      </w: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val="en-US" w:eastAsia="zh-CN"/>
        </w:rPr>
        <w:t xml:space="preserve">永飞        </w:t>
      </w: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审核人：</w:t>
      </w: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val="en-US" w:eastAsia="zh-CN"/>
        </w:rPr>
        <w:t xml:space="preserve">秦文俊     </w:t>
      </w:r>
    </w:p>
    <w:p w14:paraId="06A176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color w:val="auto"/>
          <w:sz w:val="24"/>
        </w:rPr>
        <w:t>班级：___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________</w:t>
      </w:r>
      <w:r>
        <w:rPr>
          <w:rFonts w:hint="eastAsia" w:ascii="楷体" w:hAnsi="楷体" w:eastAsia="楷体" w:cs="楷体"/>
          <w:bCs/>
          <w:color w:val="auto"/>
          <w:sz w:val="24"/>
        </w:rPr>
        <w:t>姓名：_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_____</w:t>
      </w:r>
      <w:r>
        <w:rPr>
          <w:rFonts w:hint="eastAsia" w:ascii="楷体" w:hAnsi="楷体" w:eastAsia="楷体" w:cs="楷体"/>
          <w:bCs/>
          <w:color w:val="auto"/>
          <w:sz w:val="24"/>
        </w:rPr>
        <w:t>_____学号：___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______</w:t>
      </w:r>
      <w:r>
        <w:rPr>
          <w:rFonts w:hint="eastAsia" w:ascii="楷体" w:hAnsi="楷体" w:eastAsia="楷体" w:cs="楷体"/>
          <w:bCs/>
          <w:color w:val="auto"/>
          <w:sz w:val="24"/>
        </w:rPr>
        <w:t>_时长：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75分钟</w:t>
      </w:r>
    </w:p>
    <w:p w14:paraId="46B55722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rPr>
          <w:rFonts w:ascii="楷体" w:hAnsi="楷体" w:eastAsia="楷体" w:cs="楷体"/>
          <w:color w:val="auto"/>
          <w:sz w:val="21"/>
        </w:rPr>
      </w:pPr>
      <w:r>
        <w:rPr>
          <w:rFonts w:hint="eastAsia" w:ascii="黑体" w:hAnsi="黑体" w:eastAsia="黑体" w:cs="黑体"/>
          <w:b/>
          <w:bCs/>
          <w:color w:val="auto"/>
          <w:lang w:val="en-US" w:eastAsia="zh-CN"/>
        </w:rPr>
        <w:t>一、选择题</w:t>
      </w:r>
    </w:p>
    <w:p w14:paraId="7A7D731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</w:pPr>
      <w:r>
        <w:rPr>
          <w:rFonts w:ascii="楷体" w:hAnsi="楷体" w:eastAsia="楷体" w:cs="楷体"/>
          <w:sz w:val="21"/>
        </w:rPr>
        <w:t>下图为法国塞纳河流域与中国大渡河流域示意图。塞纳河流经西欧平原，注入大西洋。大渡河流经川西高原，是长江的一条二级支流。读图完成下面小题。</w:t>
      </w:r>
    </w:p>
    <w:p w14:paraId="5BC2496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86225" cy="1529715"/>
            <wp:effectExtent l="0" t="0" r="3175" b="6985"/>
            <wp:docPr id="100003" name="图片 100003" descr="@@@387a602e-5217-4157-b6cf-eb8fbbc6b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387a602e-5217-4157-b6cf-eb8fbbc6b1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975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1．据图判断(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</w:t>
      </w:r>
      <w:r>
        <w:rPr>
          <w:sz w:val="21"/>
        </w:rPr>
        <w:t>)</w:t>
      </w:r>
    </w:p>
    <w:p w14:paraId="6997C3E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A．塞纳河流域位于西半球</w:t>
      </w:r>
      <w:r>
        <w:rPr>
          <w:rFonts w:hint="eastAsia"/>
          <w:sz w:val="21"/>
          <w:lang w:val="en-US" w:eastAsia="zh-CN"/>
        </w:rPr>
        <w:t xml:space="preserve">             </w:t>
      </w:r>
      <w:r>
        <w:rPr>
          <w:sz w:val="21"/>
        </w:rPr>
        <w:t>B．大渡河流域日出时刻更早</w:t>
      </w:r>
    </w:p>
    <w:p w14:paraId="40F13E6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C．塞纳河位于大渡河西南</w:t>
      </w:r>
      <w:r>
        <w:rPr>
          <w:rFonts w:hint="eastAsia"/>
          <w:sz w:val="21"/>
          <w:lang w:val="en-US" w:eastAsia="zh-CN"/>
        </w:rPr>
        <w:t xml:space="preserve">             </w:t>
      </w:r>
      <w:r>
        <w:rPr>
          <w:sz w:val="21"/>
        </w:rPr>
        <w:t>D．大渡河流域昼长年变幅更大</w:t>
      </w:r>
    </w:p>
    <w:p w14:paraId="0B0DFFA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2．两条河流及流域特征的相似性体现在(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)</w:t>
      </w:r>
    </w:p>
    <w:p w14:paraId="3A74AEA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A．均属于外流河</w:t>
      </w:r>
      <w:r>
        <w:rPr>
          <w:rFonts w:hint="eastAsia"/>
          <w:sz w:val="21"/>
          <w:lang w:val="en-US" w:eastAsia="zh-CN"/>
        </w:rPr>
        <w:t xml:space="preserve">   </w:t>
      </w:r>
      <w:r>
        <w:rPr>
          <w:sz w:val="21"/>
        </w:rPr>
        <w:t>B．气候类型一致</w:t>
      </w:r>
      <w:r>
        <w:rPr>
          <w:rFonts w:hint="eastAsia"/>
          <w:sz w:val="21"/>
          <w:lang w:val="en-US" w:eastAsia="zh-CN"/>
        </w:rPr>
        <w:t xml:space="preserve">   </w:t>
      </w:r>
      <w:r>
        <w:rPr>
          <w:sz w:val="21"/>
        </w:rPr>
        <w:t>C．水稻种植为主</w:t>
      </w:r>
      <w:r>
        <w:rPr>
          <w:rFonts w:hint="eastAsia"/>
          <w:sz w:val="21"/>
          <w:lang w:val="en-US" w:eastAsia="zh-CN"/>
        </w:rPr>
        <w:t xml:space="preserve">  </w:t>
      </w:r>
      <w:r>
        <w:rPr>
          <w:sz w:val="21"/>
        </w:rPr>
        <w:t>D．航运比较发达</w:t>
      </w:r>
    </w:p>
    <w:tbl>
      <w:tblPr>
        <w:tblStyle w:val="7"/>
        <w:tblpPr w:leftFromText="180" w:rightFromText="180" w:vertAnchor="text" w:horzAnchor="page" w:tblpX="5246" w:tblpY="58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80"/>
        <w:gridCol w:w="4650"/>
      </w:tblGrid>
      <w:tr w14:paraId="4458E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DADA4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实验步骤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E833A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具体操作.</w:t>
            </w:r>
          </w:p>
        </w:tc>
      </w:tr>
      <w:tr w14:paraId="24B804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776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4D7264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第一步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81F192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楷体" w:hAnsi="楷体" w:eastAsia="楷体" w:cs="楷体"/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立一根垂直于水平地面的竹杆，以杆基为圆心、</w:t>
            </w:r>
          </w:p>
          <w:p w14:paraId="61BBA4A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适当距离为半径、在杆影一侧画半圆</w:t>
            </w:r>
          </w:p>
        </w:tc>
      </w:tr>
      <w:tr w14:paraId="6B71B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9A7C5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第二步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35A0A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标记当天杆影顶端落在半圆上的两点M、N</w:t>
            </w:r>
          </w:p>
        </w:tc>
      </w:tr>
      <w:tr w14:paraId="08261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F2EBAC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第三步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083E3E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将这两点与圆心连接，画出一个等腰三角形</w:t>
            </w:r>
          </w:p>
        </w:tc>
      </w:tr>
      <w:tr w14:paraId="40878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7DA5C5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第四步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D8F56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根据等腰三角形顶角角平分线OP确定方位</w:t>
            </w:r>
          </w:p>
        </w:tc>
      </w:tr>
    </w:tbl>
    <w:p w14:paraId="47610D3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扬州某中学地理学习小组运用立杆测影的方法定方位，具体步骤如下表所示。下图为该小组绘制的实验原理图。据此完成下面小题。</w:t>
      </w:r>
    </w:p>
    <w:p w14:paraId="153F01C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81860" cy="1706245"/>
            <wp:effectExtent l="0" t="0" r="2540" b="8255"/>
            <wp:docPr id="100005" name="图片 100005" descr="@@@41664494-97cf-4c4c-9ac6-fe262d07c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41664494-97cf-4c4c-9ac6-fe262d07c4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AA30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3．图中OP指示的方位是(</w:t>
      </w:r>
      <w:r>
        <w:rPr>
          <w:rFonts w:hint="eastAsia"/>
          <w:sz w:val="21"/>
          <w:lang w:val="en-US" w:eastAsia="zh-CN"/>
        </w:rPr>
        <w:t xml:space="preserve"> 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)</w:t>
      </w:r>
    </w:p>
    <w:p w14:paraId="146F58DA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A．正东</w:t>
      </w:r>
      <w:r>
        <w:rPr>
          <w:sz w:val="21"/>
        </w:rPr>
        <w:tab/>
      </w:r>
      <w:r>
        <w:rPr>
          <w:sz w:val="21"/>
        </w:rPr>
        <w:t>B．正西</w:t>
      </w:r>
      <w:r>
        <w:rPr>
          <w:sz w:val="21"/>
        </w:rPr>
        <w:tab/>
      </w:r>
      <w:r>
        <w:rPr>
          <w:sz w:val="21"/>
        </w:rPr>
        <w:t>C．正南</w:t>
      </w:r>
      <w:r>
        <w:rPr>
          <w:sz w:val="21"/>
        </w:rPr>
        <w:tab/>
      </w:r>
      <w:r>
        <w:rPr>
          <w:sz w:val="21"/>
        </w:rPr>
        <w:t>D．正北</w:t>
      </w:r>
    </w:p>
    <w:p w14:paraId="5FD6EA8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4．若实验当天OP方向的杆影为一年中最短，则实验当天为(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sz w:val="21"/>
        </w:rPr>
        <w:t>)</w:t>
      </w:r>
    </w:p>
    <w:p w14:paraId="0B585811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A．春分日</w:t>
      </w:r>
      <w:r>
        <w:rPr>
          <w:sz w:val="21"/>
        </w:rPr>
        <w:tab/>
      </w:r>
      <w:r>
        <w:rPr>
          <w:sz w:val="21"/>
        </w:rPr>
        <w:t>B．夏至日</w:t>
      </w:r>
      <w:r>
        <w:rPr>
          <w:sz w:val="21"/>
        </w:rPr>
        <w:tab/>
      </w:r>
      <w:r>
        <w:rPr>
          <w:sz w:val="21"/>
        </w:rPr>
        <w:t>C．秋分日</w:t>
      </w:r>
      <w:r>
        <w:rPr>
          <w:sz w:val="21"/>
        </w:rPr>
        <w:tab/>
      </w:r>
      <w:r>
        <w:rPr>
          <w:sz w:val="21"/>
        </w:rPr>
        <w:t>D．冬至日</w:t>
      </w:r>
    </w:p>
    <w:p w14:paraId="385A4B0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3666490</wp:posOffset>
            </wp:positionH>
            <wp:positionV relativeFrom="paragraph">
              <wp:posOffset>33020</wp:posOffset>
            </wp:positionV>
            <wp:extent cx="2800985" cy="1734185"/>
            <wp:effectExtent l="0" t="0" r="5715" b="5715"/>
            <wp:wrapTight wrapText="bothSides">
              <wp:wrapPolygon>
                <wp:start x="0" y="0"/>
                <wp:lineTo x="0" y="21513"/>
                <wp:lineTo x="21546" y="21513"/>
                <wp:lineTo x="21546" y="0"/>
                <wp:lineTo x="0" y="0"/>
              </wp:wrapPolygon>
            </wp:wrapTight>
            <wp:docPr id="100007" name="图片 100007" descr="@@@3f2d3dbb6fbb44598edc5fae740dbb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3f2d3dbb6fbb44598edc5fae740dbb5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z w:val="21"/>
        </w:rPr>
        <w:t>区域是人们在地理环境差异的基础上按照一定的指标划分出来的。下图为我国某学者绘制的某省热带与亚热带气候界线示意图。读图完成下面小题。</w:t>
      </w:r>
    </w:p>
    <w:p w14:paraId="6616509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5．图中气候界线划分依据最可能是(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)</w:t>
      </w:r>
    </w:p>
    <w:p w14:paraId="0591490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A．地形地势</w:t>
      </w:r>
    </w:p>
    <w:p w14:paraId="5DA9013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B．积温高低</w:t>
      </w:r>
    </w:p>
    <w:p w14:paraId="25DD3A3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C．作物分布</w:t>
      </w:r>
    </w:p>
    <w:p w14:paraId="22B6C14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D．土壤质地</w:t>
      </w:r>
    </w:p>
    <w:p w14:paraId="2FF94DE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6．该省热带水果的生长与当地自然环境特征之间体现了地理环境的(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)</w:t>
      </w:r>
    </w:p>
    <w:p w14:paraId="456DFD2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A．整体性</w:t>
      </w:r>
      <w:r>
        <w:rPr>
          <w:rFonts w:hint="eastAsia"/>
          <w:sz w:val="21"/>
          <w:lang w:val="en-US" w:eastAsia="zh-CN"/>
        </w:rPr>
        <w:t xml:space="preserve">          </w:t>
      </w:r>
      <w:r>
        <w:rPr>
          <w:sz w:val="21"/>
        </w:rPr>
        <w:t>B．差异性</w:t>
      </w:r>
      <w:r>
        <w:rPr>
          <w:rFonts w:hint="eastAsia"/>
          <w:sz w:val="21"/>
          <w:lang w:val="en-US" w:eastAsia="zh-CN"/>
        </w:rPr>
        <w:t xml:space="preserve">          </w:t>
      </w:r>
      <w:r>
        <w:rPr>
          <w:sz w:val="21"/>
        </w:rPr>
        <w:t>C．开放性</w:t>
      </w:r>
      <w:r>
        <w:rPr>
          <w:rFonts w:hint="eastAsia"/>
          <w:sz w:val="21"/>
          <w:lang w:val="en-US" w:eastAsia="zh-CN"/>
        </w:rPr>
        <w:t xml:space="preserve">                </w:t>
      </w:r>
      <w:r>
        <w:rPr>
          <w:sz w:val="21"/>
        </w:rPr>
        <w:t>D．一致性</w:t>
      </w:r>
    </w:p>
    <w:p w14:paraId="3F1D53E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毕尔巴鄂市始建于1300年，是西班牙的大型港口之一，城市发展几经兴衰。下图为毕尔巴鄂市发展历程示意图。读图完成下面小题。</w:t>
      </w:r>
    </w:p>
    <w:p w14:paraId="385489B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482090"/>
            <wp:effectExtent l="0" t="0" r="6985" b="3810"/>
            <wp:docPr id="100009" name="图片 100009" descr="@@@22fe3247-e62e-4888-9b86-80744fe06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22fe3247-e62e-4888-9b86-80744fe069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48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64D4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7．毕尔巴鄂市(</w:t>
      </w:r>
      <w:r>
        <w:rPr>
          <w:rFonts w:hint="eastAsia"/>
          <w:sz w:val="21"/>
          <w:lang w:val="en-US" w:eastAsia="zh-CN"/>
        </w:rPr>
        <w:t xml:space="preserve"> 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)</w:t>
      </w:r>
    </w:p>
    <w:p w14:paraId="3475318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A．14世纪因纺织工业兴盛</w:t>
      </w:r>
      <w:r>
        <w:rPr>
          <w:rFonts w:hint="eastAsia"/>
          <w:sz w:val="21"/>
          <w:lang w:val="en-US" w:eastAsia="zh-CN"/>
        </w:rPr>
        <w:t xml:space="preserve">                   </w:t>
      </w:r>
      <w:r>
        <w:rPr>
          <w:sz w:val="21"/>
        </w:rPr>
        <w:t>B．17世纪因资源枯竭衰落</w:t>
      </w:r>
    </w:p>
    <w:p w14:paraId="29BFE9C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C．19世纪因重化工业振兴</w:t>
      </w:r>
      <w:r>
        <w:rPr>
          <w:rFonts w:hint="eastAsia"/>
          <w:sz w:val="21"/>
          <w:lang w:val="en-US" w:eastAsia="zh-CN"/>
        </w:rPr>
        <w:t xml:space="preserve">                   </w:t>
      </w:r>
      <w:r>
        <w:rPr>
          <w:sz w:val="21"/>
        </w:rPr>
        <w:t>D．19世纪中叶服务业繁荣</w:t>
      </w:r>
    </w:p>
    <w:p w14:paraId="491A6E2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8．21世纪毕尔巴鄂市再次振兴得益于(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</w:t>
      </w:r>
      <w:r>
        <w:rPr>
          <w:sz w:val="21"/>
        </w:rPr>
        <w:t>)</w:t>
      </w:r>
    </w:p>
    <w:p w14:paraId="2566379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A．政策支持，走产业转型之路</w:t>
      </w:r>
      <w:r>
        <w:rPr>
          <w:rFonts w:hint="eastAsia"/>
          <w:sz w:val="21"/>
          <w:lang w:val="en-US" w:eastAsia="zh-CN"/>
        </w:rPr>
        <w:t xml:space="preserve">               </w:t>
      </w:r>
      <w:r>
        <w:rPr>
          <w:sz w:val="21"/>
        </w:rPr>
        <w:t>B．治理污染，恢复羊毛出口中心</w:t>
      </w:r>
    </w:p>
    <w:p w14:paraId="254E63C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C．加强勘探，提高铁矿石产量</w:t>
      </w:r>
      <w:r>
        <w:rPr>
          <w:rFonts w:hint="eastAsia"/>
          <w:sz w:val="21"/>
          <w:lang w:val="en-US" w:eastAsia="zh-CN"/>
        </w:rPr>
        <w:t xml:space="preserve">               </w:t>
      </w:r>
      <w:r>
        <w:rPr>
          <w:sz w:val="21"/>
        </w:rPr>
        <w:t>D．完善交通，打造世界金融中心</w:t>
      </w:r>
    </w:p>
    <w:p w14:paraId="15EAC43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2022年2月17日,国家启动建设8个算力枢纽,并规划了张家口集群等10个数据中心集群,“东数西算”工程正式全面启动。“东数西算”中的“数”指的是数据,“算”指的是算力，即对数据的处理能力。下图为我国算力枢纽和国家数据中心集群分布示意图。读图完成下面小题。</w:t>
      </w:r>
    </w:p>
    <w:p w14:paraId="1C7CB9C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5715</wp:posOffset>
            </wp:positionV>
            <wp:extent cx="3293110" cy="2201545"/>
            <wp:effectExtent l="0" t="0" r="0" b="8255"/>
            <wp:wrapTight wrapText="bothSides">
              <wp:wrapPolygon>
                <wp:start x="0" y="0"/>
                <wp:lineTo x="0" y="21432"/>
                <wp:lineTo x="21492" y="21432"/>
                <wp:lineTo x="21492" y="0"/>
                <wp:lineTo x="0" y="0"/>
              </wp:wrapPolygon>
            </wp:wrapTight>
            <wp:docPr id="100011" name="图片 100011" descr="@@@69828cf4-9cea-4464-81cd-9620af66d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69828cf4-9cea-4464-81cd-9620af66d5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9．我国算力枢纽(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sz w:val="21"/>
        </w:rPr>
        <w:t>)</w:t>
      </w:r>
    </w:p>
    <w:p w14:paraId="5758C45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A．从分布上看，东、中、西部均匀分布</w:t>
      </w:r>
    </w:p>
    <w:p w14:paraId="44CBE8F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B．从级别上看，东部地区高于西部地区</w:t>
      </w:r>
    </w:p>
    <w:p w14:paraId="437CE67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C．从数量上看，东部地区多于西部地区</w:t>
      </w:r>
    </w:p>
    <w:p w14:paraId="5F487EA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D．从数据传输上看，均为西部输往东部</w:t>
      </w:r>
    </w:p>
    <w:p w14:paraId="457C9C6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10．与东部地区相比，西部地区发展数据处理业务的优势是(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sz w:val="21"/>
        </w:rPr>
        <w:t>)</w:t>
      </w:r>
    </w:p>
    <w:p w14:paraId="3321001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A．劳动力价格低</w:t>
      </w:r>
    </w:p>
    <w:p w14:paraId="6687869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B．科技水平高</w:t>
      </w:r>
    </w:p>
    <w:p w14:paraId="34C81E9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C．绿色能源丰富</w:t>
      </w:r>
    </w:p>
    <w:p w14:paraId="3FD513A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D．市场需求大</w:t>
      </w:r>
    </w:p>
    <w:p w14:paraId="751F20D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11．我国启动建设“东数西算”工程的主要意义是(</w:t>
      </w:r>
      <w:r>
        <w:rPr>
          <w:rFonts w:hint="eastAsia"/>
          <w:sz w:val="21"/>
          <w:lang w:val="en-US" w:eastAsia="zh-CN"/>
        </w:rPr>
        <w:t xml:space="preserve">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)</w:t>
      </w:r>
    </w:p>
    <w:p w14:paraId="5776BDD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A．优化东部能源结构</w:t>
      </w:r>
      <w:r>
        <w:rPr>
          <w:rFonts w:hint="eastAsia"/>
          <w:sz w:val="21"/>
          <w:lang w:val="en-US" w:eastAsia="zh-CN"/>
        </w:rPr>
        <w:t xml:space="preserve">   </w:t>
      </w:r>
      <w:r>
        <w:rPr>
          <w:sz w:val="21"/>
        </w:rPr>
        <w:t>B．减轻中部人口压力</w:t>
      </w:r>
      <w:r>
        <w:rPr>
          <w:rFonts w:hint="eastAsia"/>
          <w:sz w:val="21"/>
          <w:lang w:val="en-US" w:eastAsia="zh-CN"/>
        </w:rPr>
        <w:t xml:space="preserve">    </w:t>
      </w:r>
      <w:r>
        <w:rPr>
          <w:sz w:val="21"/>
        </w:rPr>
        <w:t>C．改善西部生态环境</w:t>
      </w:r>
      <w:r>
        <w:rPr>
          <w:rFonts w:hint="eastAsia"/>
          <w:sz w:val="21"/>
          <w:lang w:val="en-US" w:eastAsia="zh-CN"/>
        </w:rPr>
        <w:t xml:space="preserve">    </w:t>
      </w:r>
      <w:r>
        <w:rPr>
          <w:sz w:val="21"/>
        </w:rPr>
        <w:t>D．推动资源合理配置</w:t>
      </w:r>
    </w:p>
    <w:p w14:paraId="1BFC1CF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2019年4月第二届“一带一路”国际合作高峰论坛在北京举行，此次高峰论坛旨在通过加强国际合作，促进共同发展。下图为一带一路线路示意图。读图完成下面小题。</w:t>
      </w:r>
    </w:p>
    <w:p w14:paraId="355DFF1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50105" cy="2189480"/>
            <wp:effectExtent l="0" t="0" r="10795" b="7620"/>
            <wp:docPr id="100013" name="图片 100013" descr="@@@e1ef3ccc-8264-48dc-8a9d-10aa6ad2b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e1ef3ccc-8264-48dc-8a9d-10aa6ad2bd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6DD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12．与东欧相比，东南亚对中国产业吸引力较强，主要原因是(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sz w:val="21"/>
        </w:rPr>
        <w:t>)</w:t>
      </w:r>
    </w:p>
    <w:p w14:paraId="108DCD9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A．矿产储量大</w:t>
      </w:r>
      <w:r>
        <w:rPr>
          <w:rFonts w:hint="eastAsia"/>
          <w:sz w:val="21"/>
          <w:lang w:val="en-US" w:eastAsia="zh-CN"/>
        </w:rPr>
        <w:t xml:space="preserve">    </w:t>
      </w:r>
      <w:r>
        <w:rPr>
          <w:sz w:val="21"/>
        </w:rPr>
        <w:t>B．劳力素质高</w:t>
      </w:r>
      <w:r>
        <w:rPr>
          <w:rFonts w:hint="eastAsia"/>
          <w:sz w:val="21"/>
          <w:lang w:val="en-US" w:eastAsia="zh-CN"/>
        </w:rPr>
        <w:t xml:space="preserve">       </w:t>
      </w:r>
      <w:r>
        <w:rPr>
          <w:sz w:val="21"/>
        </w:rPr>
        <w:t>C．地缘优势强</w:t>
      </w:r>
      <w:r>
        <w:rPr>
          <w:rFonts w:hint="eastAsia"/>
          <w:sz w:val="21"/>
          <w:lang w:val="en-US" w:eastAsia="zh-CN"/>
        </w:rPr>
        <w:t xml:space="preserve">          </w:t>
      </w:r>
      <w:r>
        <w:rPr>
          <w:sz w:val="21"/>
        </w:rPr>
        <w:t>D．消费水平低</w:t>
      </w:r>
    </w:p>
    <w:p w14:paraId="481F373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13．“一带一-路”国际合作(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)</w:t>
      </w:r>
    </w:p>
    <w:p w14:paraId="40EBB8B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A．在全球层面，维护地方保护主义和计划经济体系B．对区域而言，利于塑造安全文明和谐的国际秩序</w:t>
      </w:r>
    </w:p>
    <w:p w14:paraId="2937C02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C．对沿线各国，加快区域空间组织形态的无序演变D．对中国而言，推动企业走出去积极参与国际竞争</w:t>
      </w:r>
    </w:p>
    <w:p w14:paraId="565DD1A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453390</wp:posOffset>
            </wp:positionV>
            <wp:extent cx="2926715" cy="2856230"/>
            <wp:effectExtent l="0" t="0" r="6985" b="1270"/>
            <wp:wrapTight wrapText="bothSides">
              <wp:wrapPolygon>
                <wp:start x="0" y="0"/>
                <wp:lineTo x="0" y="21514"/>
                <wp:lineTo x="21464" y="21514"/>
                <wp:lineTo x="21464" y="0"/>
                <wp:lineTo x="0" y="0"/>
              </wp:wrapPolygon>
            </wp:wrapTight>
            <wp:docPr id="100015" name="图片 100015" descr="@@@9984abe5-5dac-4fed-9352-842378a006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9984abe5-5dac-4fed-9352-842378a0068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z w:val="21"/>
        </w:rPr>
        <w:t>高质量一体化发展需关注经济与环境协调。对区域内城市经济发展和环境质量进行评分排序比较，得出经济与环境发展协调度类型。经济排名比环境排名靠前2位以上为“经济先行”，反之为“环境先行”，二者排名差距小于2位为“同步发展”。下图为长三角中心区城市经济与环境发展协调度类型示意图。读图完成下面小题。</w:t>
      </w:r>
    </w:p>
    <w:p w14:paraId="570F8CA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14．长三角中心区城市中(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)</w:t>
      </w:r>
    </w:p>
    <w:p w14:paraId="065250B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A．上海与南通经济水平相当</w:t>
      </w:r>
    </w:p>
    <w:p w14:paraId="0399CA1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B．金华的经济水平高于南京</w:t>
      </w:r>
    </w:p>
    <w:p w14:paraId="1205638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C．常州的环境质量优于杭州</w:t>
      </w:r>
    </w:p>
    <w:p w14:paraId="3EF2E3D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D．上海的环境质量位居前列</w:t>
      </w:r>
    </w:p>
    <w:p w14:paraId="14BF70C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15．长三角高质量--体化发展的基础是(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sz w:val="21"/>
        </w:rPr>
        <w:t>)</w:t>
      </w:r>
    </w:p>
    <w:p w14:paraId="3338307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A．气候温暖适宜</w:t>
      </w:r>
      <w:r>
        <w:rPr>
          <w:rFonts w:hint="eastAsia"/>
          <w:sz w:val="21"/>
          <w:lang w:val="en-US" w:eastAsia="zh-CN"/>
        </w:rPr>
        <w:t xml:space="preserve">   </w:t>
      </w:r>
      <w:r>
        <w:rPr>
          <w:sz w:val="21"/>
        </w:rPr>
        <w:t>B．地形平坦广阔</w:t>
      </w:r>
    </w:p>
    <w:p w14:paraId="2355BA8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C．城镇体系完备</w:t>
      </w:r>
      <w:r>
        <w:rPr>
          <w:rFonts w:hint="eastAsia"/>
          <w:sz w:val="21"/>
          <w:lang w:val="en-US" w:eastAsia="zh-CN"/>
        </w:rPr>
        <w:t xml:space="preserve">   </w:t>
      </w:r>
      <w:r>
        <w:rPr>
          <w:sz w:val="21"/>
        </w:rPr>
        <w:t>D．农业部门齐全</w:t>
      </w:r>
    </w:p>
    <w:p w14:paraId="42D3575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16．上海市对长三角地区其他城市的辐射(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 </w:t>
      </w:r>
      <w:r>
        <w:rPr>
          <w:sz w:val="21"/>
        </w:rPr>
        <w:t>)</w:t>
      </w:r>
    </w:p>
    <w:p w14:paraId="2B16449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A．依托发达的交通和通信网络</w:t>
      </w:r>
    </w:p>
    <w:p w14:paraId="2D2D01B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B．强度与城市间距离关系不大</w:t>
      </w:r>
    </w:p>
    <w:p w14:paraId="140322C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C．与长三角经济发展水平无关</w:t>
      </w:r>
    </w:p>
    <w:p w14:paraId="6E2CE90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D．不利于上海市产业优化升级</w:t>
      </w:r>
    </w:p>
    <w:p w14:paraId="2CB72DB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粮食安全关乎国家大局，建设国家高标准农田是粮食安全的重要保障。下图为我国部分省级行政区2020年高标准农田建成规模(单位:千万亩)统计图。读图完成下面小题。</w:t>
      </w:r>
    </w:p>
    <w:p w14:paraId="63CF44A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3647440</wp:posOffset>
            </wp:positionH>
            <wp:positionV relativeFrom="paragraph">
              <wp:posOffset>31115</wp:posOffset>
            </wp:positionV>
            <wp:extent cx="2628900" cy="2340610"/>
            <wp:effectExtent l="0" t="0" r="0" b="8890"/>
            <wp:wrapTight wrapText="bothSides">
              <wp:wrapPolygon>
                <wp:start x="0" y="0"/>
                <wp:lineTo x="0" y="21448"/>
                <wp:lineTo x="21496" y="21448"/>
                <wp:lineTo x="21496" y="0"/>
                <wp:lineTo x="0" y="0"/>
              </wp:wrapPolygon>
            </wp:wrapTight>
            <wp:docPr id="100017" name="图片 100017" descr="@@@accec296-3524-4e5e-9801-7cf573a2f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accec296-3524-4e5e-9801-7cf573a2f73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17．高标准农田规模大于五千万亩的省区主要集中于(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 </w:t>
      </w:r>
      <w:r>
        <w:rPr>
          <w:sz w:val="21"/>
        </w:rPr>
        <w:t>)</w:t>
      </w:r>
    </w:p>
    <w:p w14:paraId="773DF1BF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rFonts w:hint="default" w:eastAsia="宋体"/>
          <w:sz w:val="21"/>
          <w:lang w:val="en-US" w:eastAsia="zh-CN"/>
        </w:rPr>
      </w:pPr>
      <w:r>
        <w:rPr>
          <w:sz w:val="21"/>
        </w:rPr>
        <w:t>A．青藏地区</w:t>
      </w:r>
      <w:r>
        <w:rPr>
          <w:rFonts w:hint="eastAsia"/>
          <w:sz w:val="21"/>
          <w:lang w:val="en-US" w:eastAsia="zh-CN"/>
        </w:rPr>
        <w:t xml:space="preserve">            </w:t>
      </w:r>
      <w:r>
        <w:rPr>
          <w:sz w:val="21"/>
        </w:rPr>
        <w:t>B．西北地区</w:t>
      </w:r>
      <w:r>
        <w:rPr>
          <w:rFonts w:hint="eastAsia"/>
          <w:sz w:val="21"/>
          <w:lang w:val="en-US" w:eastAsia="zh-CN"/>
        </w:rPr>
        <w:t xml:space="preserve">   </w:t>
      </w:r>
    </w:p>
    <w:p w14:paraId="4D05C7D9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C．北方地区</w:t>
      </w:r>
      <w:r>
        <w:rPr>
          <w:rFonts w:hint="eastAsia"/>
          <w:sz w:val="21"/>
          <w:lang w:val="en-US" w:eastAsia="zh-CN"/>
        </w:rPr>
        <w:t xml:space="preserve">            </w:t>
      </w:r>
      <w:r>
        <w:rPr>
          <w:sz w:val="21"/>
        </w:rPr>
        <w:t>D．南方地区</w:t>
      </w:r>
    </w:p>
    <w:p w14:paraId="39B3A63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18．为提高高标准农田的质量，各省做法合理的是(</w:t>
      </w:r>
      <w:r>
        <w:rPr>
          <w:rFonts w:hint="eastAsia"/>
          <w:sz w:val="21"/>
          <w:lang w:val="en-US" w:eastAsia="zh-CN"/>
        </w:rPr>
        <w:t xml:space="preserve"> 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)</w:t>
      </w:r>
    </w:p>
    <w:p w14:paraId="41313CF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A．河北——大水漫灌，防止水土流失.</w:t>
      </w:r>
    </w:p>
    <w:p w14:paraId="1098079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B．江苏——退耕还林，修建水平梯田</w:t>
      </w:r>
    </w:p>
    <w:p w14:paraId="2B1855E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C．四川——治理盐碱，提高复种指数</w:t>
      </w:r>
    </w:p>
    <w:p w14:paraId="4FC3CAD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D．云南——科学培肥，提高土壤肥力</w:t>
      </w:r>
    </w:p>
    <w:p w14:paraId="34DA4C9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19．我国保障粮食安全的措施有(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)</w:t>
      </w:r>
    </w:p>
    <w:p w14:paraId="3D0CDD6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sz w:val="21"/>
        </w:rPr>
      </w:pPr>
      <w:r>
        <w:rPr>
          <w:sz w:val="21"/>
        </w:rPr>
        <w:t>①加强农田水利设施建设②提高粮食进口比重</w:t>
      </w:r>
    </w:p>
    <w:p w14:paraId="41FA344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sz w:val="21"/>
        </w:rPr>
      </w:pPr>
      <w:r>
        <w:rPr>
          <w:sz w:val="21"/>
        </w:rPr>
        <w:t>③激励农业科技创新④调动农民种粮积极性</w:t>
      </w:r>
    </w:p>
    <w:p w14:paraId="507FC5F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sz w:val="21"/>
        </w:rPr>
      </w:pPr>
      <w:r>
        <w:rPr>
          <w:sz w:val="21"/>
        </w:rPr>
        <w:t>⑤积极增加劳动力投入</w:t>
      </w:r>
    </w:p>
    <w:p w14:paraId="768AAB1E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A．①②③</w:t>
      </w:r>
      <w:r>
        <w:rPr>
          <w:sz w:val="21"/>
        </w:rPr>
        <w:tab/>
      </w:r>
      <w:r>
        <w:rPr>
          <w:sz w:val="21"/>
        </w:rPr>
        <w:t>B．①③④</w:t>
      </w:r>
      <w:r>
        <w:rPr>
          <w:sz w:val="21"/>
        </w:rPr>
        <w:tab/>
      </w:r>
      <w:r>
        <w:rPr>
          <w:sz w:val="21"/>
        </w:rPr>
        <w:t>C．②③④</w:t>
      </w:r>
      <w:r>
        <w:rPr>
          <w:sz w:val="21"/>
        </w:rPr>
        <w:tab/>
      </w:r>
      <w:r>
        <w:rPr>
          <w:sz w:val="21"/>
        </w:rPr>
        <w:t>D．②③⑤</w:t>
      </w:r>
    </w:p>
    <w:p w14:paraId="7979B9D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20955</wp:posOffset>
            </wp:positionV>
            <wp:extent cx="2756535" cy="1728470"/>
            <wp:effectExtent l="0" t="0" r="24765" b="24130"/>
            <wp:wrapTight wrapText="bothSides">
              <wp:wrapPolygon>
                <wp:start x="0" y="0"/>
                <wp:lineTo x="0" y="21425"/>
                <wp:lineTo x="21496" y="21425"/>
                <wp:lineTo x="21496" y="0"/>
                <wp:lineTo x="0" y="0"/>
              </wp:wrapPolygon>
            </wp:wrapTight>
            <wp:docPr id="100019" name="图片 100019" descr="@@@67e9ae77-212d-46ac-ba7a-59e2e98d8b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67e9ae77-212d-46ac-ba7a-59e2e98d8b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z w:val="21"/>
        </w:rPr>
        <w:t>浙江省舟山市总面积2.22万平方千米，其中海域面积2.08万平方千米。近年来，舟山市社会经济快速发展，人口迅速增加，正积极尝试开发利用更多的海洋空间资源。下图为舟山市地理位置示意图。读图完成下面小题。</w:t>
      </w:r>
    </w:p>
    <w:p w14:paraId="77672F4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20．关于舟山市海洋空间资源利用方式，说法不正确的是(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sz w:val="21"/>
        </w:rPr>
        <w:t>)</w:t>
      </w:r>
    </w:p>
    <w:p w14:paraId="495247E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</w:p>
    <w:p w14:paraId="788AD0A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A．海岛开发，扩大领海范围</w:t>
      </w:r>
      <w:r>
        <w:rPr>
          <w:rFonts w:hint="eastAsia"/>
          <w:sz w:val="21"/>
          <w:lang w:val="en-US" w:eastAsia="zh-CN"/>
        </w:rPr>
        <w:t xml:space="preserve">             </w:t>
      </w:r>
      <w:r>
        <w:rPr>
          <w:sz w:val="21"/>
        </w:rPr>
        <w:t>B．邻近海港，发展海洋运输</w:t>
      </w:r>
    </w:p>
    <w:p w14:paraId="7744A22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C．耕海牧渔，建立海洋牧场</w:t>
      </w:r>
      <w:r>
        <w:rPr>
          <w:rFonts w:hint="eastAsia"/>
          <w:sz w:val="21"/>
          <w:lang w:val="en-US" w:eastAsia="zh-CN"/>
        </w:rPr>
        <w:t xml:space="preserve">             </w:t>
      </w:r>
      <w:r>
        <w:rPr>
          <w:sz w:val="21"/>
        </w:rPr>
        <w:t>D．填海造陆，增加土地资源</w:t>
      </w:r>
    </w:p>
    <w:p w14:paraId="470C9F0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21．填海造陆可以维护(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)</w:t>
      </w:r>
    </w:p>
    <w:p w14:paraId="51741796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A．食品安全</w:t>
      </w:r>
      <w:r>
        <w:rPr>
          <w:rFonts w:hint="eastAsia"/>
          <w:sz w:val="21"/>
          <w:lang w:val="en-US" w:eastAsia="zh-CN"/>
        </w:rPr>
        <w:t xml:space="preserve">        </w:t>
      </w:r>
      <w:r>
        <w:rPr>
          <w:sz w:val="21"/>
        </w:rPr>
        <w:t>B．国土安全</w:t>
      </w:r>
      <w:r>
        <w:rPr>
          <w:rFonts w:hint="eastAsia"/>
          <w:sz w:val="21"/>
          <w:lang w:val="en-US" w:eastAsia="zh-CN"/>
        </w:rPr>
        <w:t xml:space="preserve">         </w:t>
      </w:r>
      <w:r>
        <w:rPr>
          <w:sz w:val="21"/>
        </w:rPr>
        <w:t>C．生态安全</w:t>
      </w:r>
      <w:r>
        <w:rPr>
          <w:sz w:val="21"/>
        </w:rPr>
        <w:tab/>
      </w:r>
      <w:r>
        <w:rPr>
          <w:rFonts w:hint="eastAsia"/>
          <w:sz w:val="21"/>
          <w:lang w:val="en-US" w:eastAsia="zh-CN"/>
        </w:rPr>
        <w:t xml:space="preserve">           </w:t>
      </w:r>
      <w:r>
        <w:rPr>
          <w:sz w:val="21"/>
        </w:rPr>
        <w:t>D．文化安全</w:t>
      </w:r>
    </w:p>
    <w:p w14:paraId="5D5575E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2021年10月12日在昆明召开的联合国《生物多样性公约》第15次缔约方大会上，中国正式宣布设立首批国家公园，下表为我国首批国家公园及所在位置资料。据此完成下面小题。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550"/>
        <w:gridCol w:w="7275"/>
      </w:tblGrid>
      <w:tr w14:paraId="18F4D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85C79F2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名称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27D5B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位置</w:t>
            </w:r>
          </w:p>
        </w:tc>
      </w:tr>
      <w:tr w14:paraId="2019C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5D415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①武夷山国家公园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428E4B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福建省北部、江西省铅山县南部</w:t>
            </w:r>
          </w:p>
        </w:tc>
      </w:tr>
      <w:tr w14:paraId="37050D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4F3446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②大熊猫国家公园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58898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甘肃省白水江片区、陕西省秦岭片区、四川省岷山片区、邛崃山-大相岭片区</w:t>
            </w:r>
          </w:p>
        </w:tc>
      </w:tr>
      <w:tr w14:paraId="182A53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50343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③三江源国家公园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89E256C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青海省长江源区、黄河源区、澜沧江源区</w:t>
            </w:r>
          </w:p>
        </w:tc>
      </w:tr>
      <w:tr w14:paraId="461AF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E1EB2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④东北虎豹国家公园“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E90467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黑龙江省、吉林省交界老爷岭南部</w:t>
            </w:r>
          </w:p>
        </w:tc>
      </w:tr>
      <w:tr w14:paraId="3F0E5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61C16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⑤海南热带雨林国家公园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326BA6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海南省中部</w:t>
            </w:r>
          </w:p>
        </w:tc>
      </w:tr>
    </w:tbl>
    <w:p w14:paraId="0771AB3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22．首批国家公园中(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sz w:val="21"/>
        </w:rPr>
        <w:t>)</w:t>
      </w:r>
    </w:p>
    <w:p w14:paraId="6E633C4D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A．①——全年高温，降水均匀</w:t>
      </w:r>
      <w:r>
        <w:rPr>
          <w:sz w:val="21"/>
        </w:rPr>
        <w:tab/>
      </w:r>
      <w:r>
        <w:rPr>
          <w:sz w:val="21"/>
        </w:rPr>
        <w:t>B．②——地势平坦，起伏较小</w:t>
      </w:r>
    </w:p>
    <w:p w14:paraId="49FB9846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C．③——湿地遍布，冻土发育</w:t>
      </w:r>
      <w:r>
        <w:rPr>
          <w:sz w:val="21"/>
        </w:rPr>
        <w:tab/>
      </w:r>
      <w:r>
        <w:rPr>
          <w:sz w:val="21"/>
        </w:rPr>
        <w:t>D．④——草原广袤，物种丰富</w:t>
      </w:r>
    </w:p>
    <w:p w14:paraId="31E56B7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23．推进国家公园建设可以(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  </w:t>
      </w:r>
      <w:r>
        <w:rPr>
          <w:sz w:val="21"/>
        </w:rPr>
        <w:t>)</w:t>
      </w:r>
    </w:p>
    <w:p w14:paraId="0B75A74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sz w:val="21"/>
        </w:rPr>
      </w:pPr>
      <w:r>
        <w:rPr>
          <w:sz w:val="21"/>
        </w:rPr>
        <w:t>①保护人文本底</w:t>
      </w:r>
      <w:r>
        <w:rPr>
          <w:rFonts w:hint="eastAsia"/>
          <w:sz w:val="21"/>
          <w:lang w:val="en-US" w:eastAsia="zh-CN"/>
        </w:rPr>
        <w:t xml:space="preserve">      </w:t>
      </w:r>
      <w:r>
        <w:rPr>
          <w:sz w:val="21"/>
        </w:rPr>
        <w:t>②贮备物种</w:t>
      </w:r>
      <w:r>
        <w:rPr>
          <w:rFonts w:hint="eastAsia"/>
          <w:sz w:val="21"/>
          <w:lang w:val="en-US" w:eastAsia="zh-CN"/>
        </w:rPr>
        <w:t xml:space="preserve">       </w:t>
      </w:r>
      <w:r>
        <w:rPr>
          <w:sz w:val="21"/>
        </w:rPr>
        <w:t>③保护生物多样性</w:t>
      </w:r>
      <w:r>
        <w:rPr>
          <w:rFonts w:hint="eastAsia"/>
          <w:sz w:val="21"/>
          <w:lang w:val="en-US" w:eastAsia="zh-CN"/>
        </w:rPr>
        <w:t xml:space="preserve">      </w:t>
      </w:r>
      <w:r>
        <w:rPr>
          <w:sz w:val="21"/>
        </w:rPr>
        <w:t>④提供生态服务</w:t>
      </w:r>
    </w:p>
    <w:p w14:paraId="4411C905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  <w:r>
        <w:rPr>
          <w:sz w:val="21"/>
        </w:rPr>
        <w:t>A．①②③</w:t>
      </w:r>
      <w:r>
        <w:rPr>
          <w:sz w:val="21"/>
        </w:rPr>
        <w:tab/>
      </w:r>
      <w:r>
        <w:rPr>
          <w:sz w:val="21"/>
        </w:rPr>
        <w:t>B．①②④</w:t>
      </w:r>
      <w:r>
        <w:rPr>
          <w:sz w:val="21"/>
        </w:rPr>
        <w:tab/>
      </w:r>
      <w:r>
        <w:rPr>
          <w:sz w:val="21"/>
        </w:rPr>
        <w:t>C．①③④</w:t>
      </w:r>
      <w:r>
        <w:rPr>
          <w:sz w:val="21"/>
        </w:rPr>
        <w:tab/>
      </w:r>
      <w:r>
        <w:rPr>
          <w:sz w:val="21"/>
        </w:rPr>
        <w:t>D．②③④</w:t>
      </w:r>
    </w:p>
    <w:p w14:paraId="03EC60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二、综合题</w:t>
      </w:r>
    </w:p>
    <w:p w14:paraId="233E931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24．阅读图文材料，回答下列问题。</w:t>
      </w:r>
    </w:p>
    <w:p w14:paraId="1C65A41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材料一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ascii="楷体" w:hAnsi="楷体" w:eastAsia="楷体" w:cs="楷体"/>
          <w:sz w:val="21"/>
        </w:rPr>
        <w:t>塔里木盆地是一个高山环绕的封闭盆地，是我国“丝绸之路经济带”建设的核心和生态文明建设关注的热点区域。下图为塔里木盆地区域位置及水系图。</w:t>
      </w:r>
    </w:p>
    <w:p w14:paraId="4B19481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2458720</wp:posOffset>
            </wp:positionH>
            <wp:positionV relativeFrom="paragraph">
              <wp:posOffset>631190</wp:posOffset>
            </wp:positionV>
            <wp:extent cx="4210050" cy="2149475"/>
            <wp:effectExtent l="0" t="0" r="6350" b="9525"/>
            <wp:wrapTight wrapText="bothSides">
              <wp:wrapPolygon>
                <wp:start x="0" y="0"/>
                <wp:lineTo x="0" y="21440"/>
                <wp:lineTo x="21567" y="21440"/>
                <wp:lineTo x="21567" y="0"/>
                <wp:lineTo x="0" y="0"/>
              </wp:wrapPolygon>
            </wp:wrapTight>
            <wp:docPr id="100021" name="图片 100021" descr="@@@543bb4fc143845fe889f176ed2772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543bb4fc143845fe889f176ed2772de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z w:val="21"/>
        </w:rPr>
        <w:t>材料二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ascii="楷体" w:hAnsi="楷体" w:eastAsia="楷体" w:cs="楷体"/>
          <w:sz w:val="21"/>
        </w:rPr>
        <w:t>塔里木河是我国最大的内流河,1957年-2006年50年间,随着气候变化及人类活动的影响，塔里木河干流下游出现河道干枯断流，导致大片胡杨林死亡，“水”生态问题加剧。自1999年起，国家为挽救塔里木河下游生态环境，每年8月向塔里木河下游生态输水，目前生态环境得到初步改善。下表为1957年-2006年50年间塔里木河干流监测项目动态变化数据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920"/>
        <w:gridCol w:w="975"/>
      </w:tblGrid>
      <w:tr w14:paraId="48C0EA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D01C07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监测项目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BC95A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变化率</w:t>
            </w:r>
          </w:p>
        </w:tc>
      </w:tr>
      <w:tr w14:paraId="33D38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49F1DB2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上游水文站径流量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9116C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-10.11%</w:t>
            </w:r>
          </w:p>
        </w:tc>
      </w:tr>
      <w:tr w14:paraId="3B939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2D383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中游水文站径流量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FBAE0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-32.18%</w:t>
            </w:r>
          </w:p>
        </w:tc>
      </w:tr>
      <w:tr w14:paraId="34C2F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28C91C7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下游水文站径流量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F2083C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-36.43%</w:t>
            </w:r>
          </w:p>
        </w:tc>
      </w:tr>
      <w:tr w14:paraId="6E885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D3012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流域耕地面积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2D5D2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34.80%</w:t>
            </w:r>
          </w:p>
        </w:tc>
      </w:tr>
      <w:tr w14:paraId="0D53E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6FA114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流域引用水量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755587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21.78%</w:t>
            </w:r>
          </w:p>
        </w:tc>
      </w:tr>
    </w:tbl>
    <w:p w14:paraId="35E6179F">
      <w:pPr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从认识区域的视角简要描述塔里木盆地的地理位置特征。</w:t>
      </w:r>
    </w:p>
    <w:p w14:paraId="20BA4883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11811FC4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00D0FE41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15B392CC">
      <w:pPr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center"/>
        <w:rPr>
          <w:sz w:val="21"/>
        </w:rPr>
      </w:pPr>
      <w:r>
        <w:rPr>
          <w:sz w:val="21"/>
        </w:rPr>
        <w:t>判断1957年2006年期间塔里木河干流“水”生态问题，并分析该问题产生的人为原因。</w:t>
      </w:r>
    </w:p>
    <w:p w14:paraId="3028A794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63529CD3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4B44EE8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(3)简述向塔里木河下游生态输水的生态效益。</w:t>
      </w:r>
    </w:p>
    <w:p w14:paraId="7F5908A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6670DFB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240EEB3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6735612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446423B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25．阅读图文材料，回答下列问题。</w:t>
      </w:r>
    </w:p>
    <w:p w14:paraId="31340BA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材料一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ascii="楷体" w:hAnsi="楷体" w:eastAsia="楷体" w:cs="楷体"/>
          <w:sz w:val="21"/>
        </w:rPr>
        <w:t>广东省是我国经济大省，省内区域经济发展不平衡。进入21世纪以来，广东省加快经济转型升级，2008年出台《关于推进产业转移和劳动力转移的决定》，积极实施省内工业升级转移战略。.</w:t>
      </w:r>
    </w:p>
    <w:p w14:paraId="5AB592B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材料二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ascii="楷体" w:hAnsi="楷体" w:eastAsia="楷体" w:cs="楷体"/>
          <w:sz w:val="21"/>
        </w:rPr>
        <w:t>工业碳排放转移量是根据区域工业产业转移测算得出的，能够反映工业产业升级和转移。下左图为2009年-2017年广东省各市工业碳排放转移量示意图，图中1、2、3、4代表广东省四大分区。下右图为2001年-2017年广东省四大分区工业碳排放总量变化图。</w:t>
      </w:r>
    </w:p>
    <w:p w14:paraId="37A3B68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26670</wp:posOffset>
            </wp:positionV>
            <wp:extent cx="5299075" cy="1943100"/>
            <wp:effectExtent l="0" t="0" r="9525" b="0"/>
            <wp:wrapTight wrapText="bothSides">
              <wp:wrapPolygon>
                <wp:start x="0" y="0"/>
                <wp:lineTo x="0" y="21459"/>
                <wp:lineTo x="21535" y="21459"/>
                <wp:lineTo x="21535" y="0"/>
                <wp:lineTo x="0" y="0"/>
              </wp:wrapPolygon>
            </wp:wrapTight>
            <wp:docPr id="100023" name="图片 100023" descr="@@@dffd5271-0d89-4487-86d1-cf66a2e836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dffd5271-0d89-4487-86d1-cf66a2e836c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AE22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0044DDC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13373E2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183609E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2E98A74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04216B8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69E606A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2939A76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4ED9727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1A47FC6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3E43423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32222AF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100330</wp:posOffset>
            </wp:positionV>
            <wp:extent cx="4603750" cy="2146300"/>
            <wp:effectExtent l="0" t="0" r="6350" b="38100"/>
            <wp:wrapTight wrapText="bothSides">
              <wp:wrapPolygon>
                <wp:start x="0" y="0"/>
                <wp:lineTo x="0" y="21472"/>
                <wp:lineTo x="21570" y="21472"/>
                <wp:lineTo x="21570" y="0"/>
                <wp:lineTo x="0" y="0"/>
              </wp:wrapPolygon>
            </wp:wrapTight>
            <wp:docPr id="100025" name="图片 100025" descr="@@@f9b13658-9d50-43f0-bda7-b18693347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f9b13658-9d50-43f0-bda7-b186933473b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E4C9F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34F9D3D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491B1D4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6755286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149A97D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3A07C9B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184983F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3585297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478F267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042800E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43E2F70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3FA5C3D0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与其他三个分区相比，简述2001年2017年珠三角地区工业碳排放总量的特征。</w:t>
      </w:r>
    </w:p>
    <w:p w14:paraId="15EAFA7E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766103B4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47A09ABF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3880EFFF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2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推测2009年-2017年广东省四大分区间产业转移的主要方向，并从转出地角度分析原因。</w:t>
      </w:r>
    </w:p>
    <w:p w14:paraId="2BEC7CE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44EEA39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bookmarkStart w:id="0" w:name="_GoBack"/>
      <w:bookmarkEnd w:id="0"/>
    </w:p>
    <w:p w14:paraId="15D7A0D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3FFA627D">
      <w:pPr>
        <w:keepNext w:val="0"/>
        <w:keepLines w:val="0"/>
        <w:pageBreakBefore w:val="0"/>
        <w:widowControl w:val="0"/>
        <w:numPr>
          <w:ilvl w:val="0"/>
          <w:numId w:val="2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center"/>
        <w:rPr>
          <w:sz w:val="21"/>
        </w:rPr>
      </w:pPr>
      <w:r>
        <w:rPr>
          <w:sz w:val="21"/>
        </w:rPr>
        <w:t>简述广东省为实现低碳发展所采取的有效措施。</w:t>
      </w:r>
    </w:p>
    <w:p w14:paraId="6F1C9982">
      <w:pPr>
        <w:keepNext w:val="0"/>
        <w:keepLines w:val="0"/>
        <w:pageBreakBefore w:val="0"/>
        <w:widowControl w:val="0"/>
        <w:numPr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6916CB14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67D6A37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26．阅读图文材料，回答下列问题。</w:t>
      </w:r>
    </w:p>
    <w:p w14:paraId="5214E71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中俄能源合作由来已久，两国油气管道运营之前以铁路运输方式进行油气贸易。2011年初,中俄石油管道一期工程启用。2018年夏，中俄亚马尔液化天然气项目通过海运向中国供气。2019年底，中俄天然气管道东线工程投产通气。2022年中俄再次签署能源协议，进一步深化两国能源合作。下左图为中俄能源通道线路示意图，下右图为2009年以来中俄石油贸易规模及进口比重情况统计图。</w:t>
      </w:r>
    </w:p>
    <w:p w14:paraId="3C6F9FB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899660" cy="2752725"/>
            <wp:effectExtent l="0" t="0" r="2540" b="3175"/>
            <wp:docPr id="100027" name="图片 100027" descr="@@@92075f58-c601-4f5b-81c1-b45a038db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92075f58-c601-4f5b-81c1-b45a038dbaf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72050" cy="3143250"/>
            <wp:effectExtent l="0" t="0" r="6350" b="6350"/>
            <wp:docPr id="100029" name="图片 100029" descr="@@@c3a61f76-58ee-44b8-8618-17599dde11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c3a61f76-58ee-44b8-8618-17599dde11c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F1C1">
      <w:pPr>
        <w:keepNext w:val="0"/>
        <w:keepLines w:val="0"/>
        <w:pageBreakBefore w:val="0"/>
        <w:widowControl w:val="0"/>
        <w:numPr>
          <w:ilvl w:val="0"/>
          <w:numId w:val="3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与中俄天然气管道东线工程相比，评价西线工程的特点。</w:t>
      </w:r>
    </w:p>
    <w:p w14:paraId="34BC20F7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48D9C575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4B8FD73F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6C251AF9">
      <w:pPr>
        <w:keepNext w:val="0"/>
        <w:keepLines w:val="0"/>
        <w:pageBreakBefore w:val="0"/>
        <w:widowControl w:val="0"/>
        <w:numPr>
          <w:ilvl w:val="0"/>
          <w:numId w:val="3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center"/>
        <w:rPr>
          <w:sz w:val="21"/>
        </w:rPr>
      </w:pPr>
      <w:r>
        <w:rPr>
          <w:sz w:val="21"/>
        </w:rPr>
        <w:t>简要说明2009年以来中俄能源合作不断深化的表现。</w:t>
      </w:r>
    </w:p>
    <w:p w14:paraId="4FD32FFB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5023B202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1142CFE5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42B7A10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(3)从立足国内的角度，提出保障国家能源安全的合理化建议。</w:t>
      </w:r>
    </w:p>
    <w:p w14:paraId="34F6BE2C">
      <w:pPr>
        <w:keepNext w:val="0"/>
        <w:keepLines w:val="0"/>
        <w:pageBreakBefore w:val="0"/>
        <w:widowControl w:val="0"/>
        <w:tabs>
          <w:tab w:val="left" w:pos="86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A85C07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10126A"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610126A"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DE2F92">
    <w:pPr>
      <w:pBdr>
        <w:bottom w:val="none" w:color="auto" w:sz="0" w:space="1"/>
      </w:pBdr>
      <w:snapToGrid w:val="0"/>
      <w:spacing w:after="0" w:line="240" w:lineRule="auto"/>
      <w:rPr>
        <w:rFonts w:ascii="Times New Roman" w:hAnsi="Times New Roman" w:eastAsia="宋体" w:cs="Times New Roman"/>
        <w:kern w:val="0"/>
        <w:sz w:val="2"/>
        <w:szCs w:val="2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4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45C5BC"/>
    <w:multiLevelType w:val="singleLevel"/>
    <w:tmpl w:val="A245C5BC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FBAB88CD"/>
    <w:multiLevelType w:val="singleLevel"/>
    <w:tmpl w:val="FBAB88CD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45E424C8"/>
    <w:multiLevelType w:val="singleLevel"/>
    <w:tmpl w:val="45E424C8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E52BB"/>
    <w:rsid w:val="01301E4F"/>
    <w:rsid w:val="02251150"/>
    <w:rsid w:val="02CD5C03"/>
    <w:rsid w:val="02CE3596"/>
    <w:rsid w:val="08332819"/>
    <w:rsid w:val="0A140428"/>
    <w:rsid w:val="0D5E7DEC"/>
    <w:rsid w:val="0E0A3B54"/>
    <w:rsid w:val="163217C7"/>
    <w:rsid w:val="18A8690B"/>
    <w:rsid w:val="19517065"/>
    <w:rsid w:val="19F726C7"/>
    <w:rsid w:val="1B4033B6"/>
    <w:rsid w:val="25D7695D"/>
    <w:rsid w:val="26EC4867"/>
    <w:rsid w:val="2CAA598A"/>
    <w:rsid w:val="34EC753E"/>
    <w:rsid w:val="3A69490E"/>
    <w:rsid w:val="3E9C3C4D"/>
    <w:rsid w:val="3F615369"/>
    <w:rsid w:val="414601C0"/>
    <w:rsid w:val="4387665D"/>
    <w:rsid w:val="473C2D69"/>
    <w:rsid w:val="4ABD428B"/>
    <w:rsid w:val="4D381628"/>
    <w:rsid w:val="4F740845"/>
    <w:rsid w:val="55674E7D"/>
    <w:rsid w:val="5632548A"/>
    <w:rsid w:val="5A81078E"/>
    <w:rsid w:val="5EDC5F78"/>
    <w:rsid w:val="5F2E2567"/>
    <w:rsid w:val="5FB13812"/>
    <w:rsid w:val="658D4F34"/>
    <w:rsid w:val="66526695"/>
    <w:rsid w:val="6FAF08CD"/>
    <w:rsid w:val="75602849"/>
    <w:rsid w:val="76311E0C"/>
    <w:rsid w:val="77214C87"/>
    <w:rsid w:val="77456524"/>
    <w:rsid w:val="79CB0C87"/>
    <w:rsid w:val="7BEA0729"/>
    <w:rsid w:val="7D1E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styleId="3">
    <w:name w:val="Plain Text"/>
    <w:basedOn w:val="1"/>
    <w:next w:val="4"/>
    <w:qFormat/>
    <w:uiPriority w:val="0"/>
    <w:rPr>
      <w:rFonts w:ascii="宋体" w:hAnsi="Courier New" w:cs="Courier New"/>
      <w:szCs w:val="2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table" w:customStyle="1" w:styleId="11">
    <w:name w:val="edittable"/>
    <w:basedOn w:val="7"/>
    <w:qFormat/>
    <w:uiPriority w:val="0"/>
    <w:rPr>
      <w:rFonts w:ascii="Times New Roman" w:hAnsi="Times New Roman" w:eastAsia="宋体"/>
      <w:kern w:val="0"/>
      <w:sz w:val="20"/>
      <w:szCs w:val="20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Table Text"/>
    <w:basedOn w:val="1"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2525252525252525252525252525257B75232B38-A165-1FB7-499C-2E1C792CACB5%25252525252525252525252525252525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2910</Words>
  <Characters>3147</Characters>
  <Lines>0</Lines>
  <Paragraphs>0</Paragraphs>
  <TotalTime>1</TotalTime>
  <ScaleCrop>false</ScaleCrop>
  <LinksUpToDate>false</LinksUpToDate>
  <CharactersWithSpaces>3409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86136</dc:creator>
  <cp:lastModifiedBy>童妈咪</cp:lastModifiedBy>
  <dcterms:modified xsi:type="dcterms:W3CDTF">2025-06-13T00:29:01Z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eyJoZGlkIjoiZDZkYWMyNTcxZDk5ZWQ0YzUzYTcyZmI0ZDUxMWIwZGYiLCJ1c2VySWQiOiI3OTM0ODU0MjIifQ==</vt:lpwstr>
  </property>
  <property fmtid="{D5CDD505-2E9C-101B-9397-08002B2CF9AE}" pid="4" name="ICV">
    <vt:lpwstr>810EC8847064498C9F306B866503E8BE_12</vt:lpwstr>
  </property>
</Properties>
</file>