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334E"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 w14:paraId="33C37B2E">
      <w:pPr>
        <w:pStyle w:val="15"/>
        <w:ind w:left="562" w:hanging="562"/>
        <w:rPr>
          <w:color w:val="000000" w:themeColor="text1"/>
        </w:rPr>
      </w:pPr>
      <w:bookmarkStart w:id="1" w:name="_GoBack"/>
      <w:bookmarkStart w:id="0" w:name="OLE_LINK11"/>
      <w:r>
        <w:rPr>
          <w:rFonts w:hint="eastAsia"/>
          <w:color w:val="000000" w:themeColor="text1"/>
        </w:rPr>
        <w:t>4.4</w:t>
      </w:r>
      <w:r>
        <w:rPr>
          <w:rFonts w:hint="eastAsia"/>
        </w:rPr>
        <w:t>.1</w:t>
      </w:r>
      <w:r>
        <w:rPr>
          <w:rFonts w:hint="eastAsia"/>
          <w:color w:val="000000" w:themeColor="text1"/>
        </w:rPr>
        <w:t>　氢原子光谱和玻尔的原子模型</w:t>
      </w:r>
      <w:bookmarkEnd w:id="1"/>
      <w:bookmarkEnd w:id="0"/>
    </w:p>
    <w:p w14:paraId="5AB66622"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研制人：韦娟        审核人：刘刚</w:t>
      </w:r>
    </w:p>
    <w:p w14:paraId="1A270425">
      <w:pPr>
        <w:ind w:left="105" w:leftChars="50" w:firstLine="360" w:firstLineChars="150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2025-4-11 </w:t>
      </w:r>
      <w:r>
        <w:rPr>
          <w:rFonts w:hint="eastAsia" w:ascii="楷体" w:hAnsi="楷体" w:eastAsia="楷体" w:cs="楷体"/>
          <w:bCs/>
          <w:sz w:val="24"/>
        </w:rPr>
        <w:t xml:space="preserve">              </w:t>
      </w:r>
    </w:p>
    <w:p w14:paraId="19BA3CE3">
      <w:pPr>
        <w:snapToGrid w:val="0"/>
      </w:pPr>
      <w:r>
        <w:rPr>
          <w:rFonts w:hint="eastAsia"/>
        </w:rPr>
        <w:t>本课在课程标准中的表述：知道光谱、线状谱和连续谱的概念，知道玻尔原子理论的基本假设的内容．</w:t>
      </w:r>
    </w:p>
    <w:p w14:paraId="3CC45BAA"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 w14:paraId="757EF070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1．知道光谱、线状谱和连续谱的概念，知道什么是光谱分析．</w:t>
      </w:r>
    </w:p>
    <w:p w14:paraId="7CD51987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2．知道氢原子光谱的实验规律．</w:t>
      </w:r>
    </w:p>
    <w:p w14:paraId="6914921A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3．知道玻尔原子理论的基本假设的主要内容．了解能级跃迁、轨道和能量量子化以及基态、激发态等概念</w:t>
      </w:r>
    </w:p>
    <w:p w14:paraId="04AEB536"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</w:p>
    <w:p w14:paraId="44CB25FE">
      <w:pPr>
        <w:pStyle w:val="10"/>
        <w:tabs>
          <w:tab w:val="left" w:pos="3402"/>
        </w:tabs>
        <w:snapToGrid w:val="0"/>
        <w:rPr>
          <w:i/>
          <w:w w:val="10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 w14:paraId="2322C073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一、光谱</w:t>
      </w:r>
    </w:p>
    <w:p w14:paraId="571E77F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光谱的定义：用棱镜或光栅把物质发出的光按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(频率)展开，获得波长(频率)和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分布的记录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E8450DD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分类</w:t>
      </w:r>
    </w:p>
    <w:p w14:paraId="218F09C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(1)发射光谱</w:t>
      </w:r>
    </w:p>
    <w:p w14:paraId="53BA081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/>
          <w:w w:val="104"/>
          <w:szCs w:val="21"/>
        </w:rPr>
        <w:t>①</w:t>
      </w:r>
      <w:r>
        <w:rPr>
          <w:w w:val="104"/>
          <w:szCs w:val="21"/>
        </w:rPr>
        <w:t>线状谱：光谱是一条条的</w:t>
      </w:r>
      <w:r>
        <w:rPr>
          <w:rFonts w:hint="eastAsia"/>
          <w:w w:val="104"/>
          <w:szCs w:val="21"/>
        </w:rPr>
        <w:t>______．</w:t>
      </w:r>
      <w:r>
        <w:rPr>
          <w:w w:val="104"/>
          <w:szCs w:val="21"/>
        </w:rPr>
        <w:t> </w:t>
      </w:r>
    </w:p>
    <w:p w14:paraId="70785A30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/>
          <w:w w:val="104"/>
          <w:szCs w:val="21"/>
        </w:rPr>
        <w:t>②</w:t>
      </w:r>
      <w:r>
        <w:rPr>
          <w:w w:val="104"/>
          <w:szCs w:val="21"/>
        </w:rPr>
        <w:t>连续谱：光谱是</w:t>
      </w:r>
      <w:r>
        <w:rPr>
          <w:rFonts w:hint="eastAsia"/>
          <w:w w:val="104"/>
          <w:szCs w:val="21"/>
        </w:rPr>
        <w:t>____________</w:t>
      </w:r>
      <w:r>
        <w:rPr>
          <w:w w:val="104"/>
          <w:szCs w:val="21"/>
        </w:rPr>
        <w:t>的光带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28A02A7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(2)吸收光谱</w:t>
      </w:r>
    </w:p>
    <w:p w14:paraId="63A4D36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/>
          <w:w w:val="104"/>
          <w:szCs w:val="21"/>
        </w:rPr>
        <w:t>①</w:t>
      </w:r>
      <w:r>
        <w:rPr>
          <w:w w:val="104"/>
          <w:szCs w:val="21"/>
        </w:rPr>
        <w:t>定义：连续谱中，某些波长的光被物质吸收后产生的光谱</w:t>
      </w:r>
      <w:r>
        <w:rPr>
          <w:rFonts w:hint="eastAsia"/>
          <w:w w:val="104"/>
          <w:szCs w:val="21"/>
        </w:rPr>
        <w:t>．</w:t>
      </w:r>
    </w:p>
    <w:p w14:paraId="5BEB1EE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hint="eastAsia"/>
          <w:w w:val="104"/>
          <w:szCs w:val="21"/>
        </w:rPr>
        <w:t>②</w:t>
      </w:r>
      <w:r>
        <w:rPr>
          <w:w w:val="104"/>
          <w:szCs w:val="21"/>
        </w:rPr>
        <w:t>产生条件：炽热物体发生的白光通过温度较低的气体后，再色散形成的</w:t>
      </w:r>
      <w:r>
        <w:rPr>
          <w:rFonts w:hint="eastAsia"/>
          <w:w w:val="104"/>
          <w:szCs w:val="21"/>
        </w:rPr>
        <w:t>．</w:t>
      </w:r>
    </w:p>
    <w:p w14:paraId="1A980B43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特征谱线：气体中中性原子的发光光谱都是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，说明原子只发出几种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的光，不同原子的亮线位置不同，说明不同原子的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不一样，光谱中的亮线称为原子的</w:t>
      </w:r>
      <w:r>
        <w:rPr>
          <w:rFonts w:hint="eastAsia"/>
          <w:w w:val="104"/>
          <w:szCs w:val="21"/>
        </w:rPr>
        <w:t>______．</w:t>
      </w:r>
      <w:r>
        <w:rPr>
          <w:w w:val="104"/>
          <w:szCs w:val="21"/>
        </w:rPr>
        <w:t> </w:t>
      </w:r>
    </w:p>
    <w:p w14:paraId="579FB69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4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光谱分析的应用：利用原子的特征谱线，可以鉴别物质和确定物质的组成成分，这种方法称为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，它的优点是灵敏度高，样本中一种元素的含量达到10</w:t>
      </w:r>
      <w:r>
        <w:rPr>
          <w:w w:val="104"/>
          <w:szCs w:val="21"/>
          <w:vertAlign w:val="superscript"/>
        </w:rPr>
        <w:t>-13</w:t>
      </w:r>
      <w:r>
        <w:rPr>
          <w:w w:val="104"/>
          <w:szCs w:val="21"/>
        </w:rPr>
        <w:t xml:space="preserve"> kg时就可以被检测到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06DC2335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>二、氢原子光谱的实验规律</w:t>
      </w:r>
    </w:p>
    <w:p w14:paraId="336559E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原子内部电子的运动是原子发光的原因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因此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是探索原子结构的一条重要途径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56EBBA29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氢原子光谱的实验规律满足巴耳末公式：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λ</m:t>
            </m:r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=R∞(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-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n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)(n=3，4，5，…)</w:t>
      </w:r>
    </w:p>
    <w:p w14:paraId="51B5EC9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式中R</w:t>
      </w:r>
      <w:r>
        <w:rPr>
          <w:w w:val="104"/>
          <w:szCs w:val="21"/>
          <w:vertAlign w:val="subscript"/>
        </w:rPr>
        <w:t>∞</w:t>
      </w:r>
      <w:r>
        <w:rPr>
          <w:w w:val="104"/>
          <w:szCs w:val="21"/>
        </w:rPr>
        <w:t>为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，R∞=1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>10×10</w:t>
      </w:r>
      <w:r>
        <w:rPr>
          <w:w w:val="104"/>
          <w:szCs w:val="21"/>
          <w:vertAlign w:val="superscript"/>
        </w:rPr>
        <w:t>7</w:t>
      </w:r>
      <w:r>
        <w:rPr>
          <w:w w:val="104"/>
          <w:szCs w:val="21"/>
        </w:rPr>
        <w:t xml:space="preserve"> m</w:t>
      </w:r>
      <w:r>
        <w:rPr>
          <w:w w:val="104"/>
          <w:szCs w:val="21"/>
          <w:vertAlign w:val="superscript"/>
        </w:rPr>
        <w:t>-1</w:t>
      </w:r>
      <w:r>
        <w:rPr>
          <w:w w:val="104"/>
          <w:szCs w:val="21"/>
        </w:rPr>
        <w:t>，n取整数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038C45D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巴耳末公式的意义：以简洁的形式反映了氢原子的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光谱的特征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0C5FE9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4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其他谱线：除了巴耳末系，氢光谱在</w:t>
      </w:r>
      <w:r>
        <w:rPr>
          <w:rFonts w:hint="eastAsia"/>
          <w:w w:val="104"/>
          <w:szCs w:val="21"/>
        </w:rPr>
        <w:t>______</w:t>
      </w:r>
      <w:r>
        <w:rPr>
          <w:w w:val="104"/>
          <w:szCs w:val="21"/>
        </w:rPr>
        <w:t>和</w:t>
      </w:r>
      <w:r>
        <w:rPr>
          <w:rFonts w:hint="eastAsia"/>
          <w:w w:val="104"/>
          <w:szCs w:val="21"/>
        </w:rPr>
        <w:t>_____</w:t>
      </w:r>
      <w:r>
        <w:rPr>
          <w:w w:val="104"/>
          <w:szCs w:val="21"/>
        </w:rPr>
        <w:t>光区的其他谱线也都满足与巴耳末公式类似关系式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2B7495FA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>三、经典理论的困难　玻尔原子理论的基本假设</w:t>
      </w:r>
    </w:p>
    <w:p w14:paraId="721D2511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经典理论的困难</w:t>
      </w:r>
    </w:p>
    <w:p w14:paraId="23DEAFEC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(1)核式结构模型的成就：正确地指出了</w:t>
      </w:r>
      <w:r>
        <w:rPr>
          <w:w w:val="104"/>
          <w:szCs w:val="21"/>
          <w:u w:val="single"/>
        </w:rPr>
        <w:t>　　　</w:t>
      </w:r>
      <w:r>
        <w:rPr>
          <w:w w:val="104"/>
          <w:szCs w:val="21"/>
        </w:rPr>
        <w:t>的存在，很好地解释了</w:t>
      </w:r>
      <w:r>
        <w:rPr>
          <w:w w:val="104"/>
          <w:szCs w:val="21"/>
          <w:u w:val="single"/>
        </w:rPr>
        <w:t>　　　　　　　　　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630D14C2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(2)经典理论的困难：经典物理学既无法解释原子的稳定性，又无法解释原子光谱的分立线状谱</w:t>
      </w:r>
      <w:r>
        <w:rPr>
          <w:rFonts w:hint="eastAsia"/>
          <w:w w:val="104"/>
          <w:szCs w:val="21"/>
        </w:rPr>
        <w:t>．</w:t>
      </w:r>
    </w:p>
    <w:p w14:paraId="1FE43290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玻尔原子理论的基本假设</w:t>
      </w:r>
    </w:p>
    <w:p w14:paraId="41F76353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(1)轨道量子化</w:t>
      </w:r>
    </w:p>
    <w:p w14:paraId="6118C1C8"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</w:rPr>
        <w:t>电子绕原子核做圆周运动的轨道的半径不是任意的，也就是说电子的轨道是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(填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连续变化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或</w:t>
      </w:r>
      <w:r>
        <w:rPr>
          <w:rFonts w:asciiTheme="majorEastAsia" w:hAnsiTheme="majorEastAsia" w:eastAsiaTheme="majorEastAsia"/>
          <w:w w:val="104"/>
          <w:szCs w:val="21"/>
        </w:rPr>
        <w:t>“</w:t>
      </w:r>
      <w:r>
        <w:rPr>
          <w:w w:val="104"/>
          <w:szCs w:val="21"/>
        </w:rPr>
        <w:t>量子化</w:t>
      </w:r>
      <w:r>
        <w:rPr>
          <w:rFonts w:asciiTheme="majorEastAsia" w:hAnsiTheme="majorEastAsia" w:eastAsiaTheme="majorEastAsia"/>
          <w:w w:val="104"/>
          <w:szCs w:val="21"/>
        </w:rPr>
        <w:t>”</w:t>
      </w:r>
      <w:r>
        <w:rPr>
          <w:w w:val="104"/>
          <w:szCs w:val="21"/>
        </w:rPr>
        <w:t>)的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539785A"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</w:rPr>
        <w:t>电子在这些轨道上绕核的运动是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的，不产生</w:t>
      </w:r>
      <w:r>
        <w:rPr>
          <w:w w:val="104"/>
          <w:szCs w:val="21"/>
          <w:u w:val="single"/>
        </w:rPr>
        <w:t>　　　　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308B8C23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(2)定态</w:t>
      </w:r>
    </w:p>
    <w:p w14:paraId="06A4ECB8"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①</w:t>
      </w:r>
      <w:r>
        <w:rPr>
          <w:w w:val="104"/>
          <w:szCs w:val="21"/>
        </w:rPr>
        <w:t>当电子在不同的轨道上运动时，原子处于不同的状态，具有不同的能量。电子只能在特定轨道上运动，原子的能量只能取一系列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的值。这些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的能量值叫作能级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4F05F9E9">
      <w:pPr>
        <w:tabs>
          <w:tab w:val="left" w:pos="3686"/>
        </w:tabs>
        <w:snapToGrid w:val="0"/>
        <w:rPr>
          <w:szCs w:val="21"/>
        </w:rPr>
      </w:pPr>
      <w:r>
        <w:rPr>
          <w:rFonts w:hint="eastAsia" w:ascii="宋体" w:hAnsi="宋体" w:cs="宋体"/>
          <w:w w:val="104"/>
          <w:szCs w:val="21"/>
        </w:rPr>
        <w:t>②</w:t>
      </w:r>
      <w:r>
        <w:rPr>
          <w:w w:val="104"/>
          <w:szCs w:val="21"/>
        </w:rPr>
        <w:t>原子中这些具有确定能量的稳定状态，称为</w:t>
      </w:r>
      <w:r>
        <w:rPr>
          <w:w w:val="104"/>
          <w:szCs w:val="21"/>
          <w:u w:val="single"/>
        </w:rPr>
        <w:t>　　　　　　</w:t>
      </w:r>
      <w:r>
        <w:rPr>
          <w:w w:val="104"/>
          <w:szCs w:val="21"/>
        </w:rPr>
        <w:t>。能量最低的状态叫作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，其他的状态叫作</w:t>
      </w:r>
      <w:r>
        <w:rPr>
          <w:w w:val="104"/>
          <w:szCs w:val="21"/>
          <w:u w:val="single"/>
        </w:rPr>
        <w:t>　　　　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782DF26C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(3)频率条件</w:t>
      </w:r>
    </w:p>
    <w:p w14:paraId="0146AA3E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当电子从能量较高的定态轨道(其能量记为</w:t>
      </w:r>
      <w:r>
        <w:rPr>
          <w:i/>
          <w:w w:val="104"/>
          <w:szCs w:val="21"/>
        </w:rPr>
        <w:t>E</w:t>
      </w:r>
      <w:r>
        <w:rPr>
          <w:i/>
          <w:w w:val="104"/>
          <w:szCs w:val="21"/>
          <w:vertAlign w:val="subscript"/>
        </w:rPr>
        <w:t>n</w:t>
      </w:r>
      <w:r>
        <w:rPr>
          <w:w w:val="104"/>
          <w:szCs w:val="21"/>
        </w:rPr>
        <w:t>)跃迁到能量较低的定态轨道(能量记为</w:t>
      </w:r>
      <w:r>
        <w:rPr>
          <w:i/>
          <w:w w:val="104"/>
          <w:szCs w:val="21"/>
        </w:rPr>
        <w:t>E</w:t>
      </w:r>
      <w:r>
        <w:rPr>
          <w:i/>
          <w:w w:val="104"/>
          <w:szCs w:val="21"/>
          <w:vertAlign w:val="subscript"/>
        </w:rPr>
        <w:t>m</w:t>
      </w:r>
      <w:r>
        <w:rPr>
          <w:w w:val="104"/>
          <w:szCs w:val="21"/>
        </w:rPr>
        <w:t>，</w:t>
      </w:r>
      <w:r>
        <w:rPr>
          <w:i/>
          <w:w w:val="104"/>
          <w:szCs w:val="21"/>
        </w:rPr>
        <w:t>m</w:t>
      </w:r>
      <w:r>
        <w:rPr>
          <w:w w:val="104"/>
          <w:szCs w:val="21"/>
        </w:rPr>
        <w:t>&lt;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)时，会</w:t>
      </w:r>
      <w:r>
        <w:rPr>
          <w:w w:val="104"/>
          <w:szCs w:val="21"/>
          <w:u w:val="single"/>
        </w:rPr>
        <w:t>　　　　　</w:t>
      </w:r>
      <w:r>
        <w:rPr>
          <w:w w:val="104"/>
          <w:szCs w:val="21"/>
        </w:rPr>
        <w:t>能量为</w:t>
      </w:r>
      <w:r>
        <w:rPr>
          <w:i/>
          <w:w w:val="104"/>
          <w:szCs w:val="21"/>
        </w:rPr>
        <w:t>hν</w:t>
      </w:r>
      <w:r>
        <w:rPr>
          <w:w w:val="104"/>
          <w:szCs w:val="21"/>
        </w:rPr>
        <w:t>的光子(</w:t>
      </w:r>
      <w:r>
        <w:rPr>
          <w:i/>
          <w:w w:val="104"/>
          <w:szCs w:val="21"/>
        </w:rPr>
        <w:t>h</w:t>
      </w:r>
      <w:r>
        <w:rPr>
          <w:w w:val="104"/>
          <w:szCs w:val="21"/>
        </w:rPr>
        <w:t>是普朗克常量)，该光子的能量</w:t>
      </w:r>
      <w:r>
        <w:rPr>
          <w:i/>
          <w:w w:val="104"/>
          <w:szCs w:val="21"/>
        </w:rPr>
        <w:t>hν</w:t>
      </w:r>
      <w:r>
        <w:rPr>
          <w:w w:val="104"/>
          <w:szCs w:val="21"/>
        </w:rPr>
        <w:t>=</w:t>
      </w:r>
      <w:r>
        <w:rPr>
          <w:w w:val="104"/>
          <w:szCs w:val="21"/>
          <w:u w:val="single"/>
        </w:rPr>
        <w:t>　　　　　　</w:t>
      </w:r>
      <w:r>
        <w:rPr>
          <w:w w:val="104"/>
          <w:szCs w:val="21"/>
        </w:rPr>
        <w:t>，该式称为频率条件，又称辐射条件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反之，当电子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光子时，会从能量较低的定态轨道跃迁到能量较高的定态轨道，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光子的能量同样由频率条件决定</w:t>
      </w:r>
      <w:r>
        <w:rPr>
          <w:rFonts w:hint="eastAsia"/>
          <w:w w:val="104"/>
          <w:szCs w:val="21"/>
        </w:rPr>
        <w:t>．</w:t>
      </w:r>
    </w:p>
    <w:p w14:paraId="520B5381">
      <w:pPr>
        <w:tabs>
          <w:tab w:val="left" w:pos="3686"/>
        </w:tabs>
        <w:snapToGrid w:val="0"/>
        <w:rPr>
          <w:szCs w:val="21"/>
        </w:rPr>
      </w:pPr>
    </w:p>
    <w:p w14:paraId="46E68F53"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 w14:paraId="3267BEE6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一、光谱</w:t>
      </w:r>
    </w:p>
    <w:p w14:paraId="507C754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32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33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8627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使用分光镜，分组进行下面活动</w:t>
      </w:r>
      <w:r>
        <w:rPr>
          <w:rFonts w:hint="eastAsia"/>
          <w:w w:val="104"/>
          <w:szCs w:val="21"/>
        </w:rPr>
        <w:t>．</w:t>
      </w:r>
    </w:p>
    <w:p w14:paraId="7118502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观察白炽灯泡发出强光的光谱</w:t>
      </w:r>
      <w:r>
        <w:rPr>
          <w:rFonts w:hint="eastAsia"/>
          <w:w w:val="104"/>
          <w:szCs w:val="21"/>
        </w:rPr>
        <w:t>．</w:t>
      </w:r>
    </w:p>
    <w:p w14:paraId="004D9BD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在暗室中点燃酒精灯，在火焰上撒一些钠盐，观察其光线的光谱</w:t>
      </w:r>
      <w:r>
        <w:rPr>
          <w:rFonts w:hint="eastAsia"/>
          <w:w w:val="104"/>
          <w:szCs w:val="21"/>
        </w:rPr>
        <w:t>．</w:t>
      </w:r>
    </w:p>
    <w:p w14:paraId="36A0618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用弧光灯发出白光，照射钠蒸气，用分光镜观察通过钠蒸气后的强光</w:t>
      </w:r>
      <w:r>
        <w:rPr>
          <w:rFonts w:hint="eastAsia"/>
          <w:w w:val="104"/>
          <w:szCs w:val="21"/>
        </w:rPr>
        <w:t>．</w:t>
      </w:r>
    </w:p>
    <w:p w14:paraId="38898F4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在以上三个活动中所观察到的光谱有何不同</w:t>
      </w:r>
      <w:r>
        <w:rPr>
          <w:rFonts w:hint="eastAsia"/>
          <w:w w:val="104"/>
          <w:szCs w:val="21"/>
        </w:rPr>
        <w:t>?</w:t>
      </w:r>
    </w:p>
    <w:p w14:paraId="166656C6"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 w14:paraId="0BE7296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34" name="image4.jpeg" descr="source:si_idp757536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 descr="source:si_idp757536960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方正黑体_GBK"/>
          <w:w w:val="104"/>
          <w:szCs w:val="21"/>
        </w:rPr>
        <w:t>例</w:t>
      </w:r>
      <w:r>
        <w:rPr>
          <w:w w:val="104"/>
          <w:szCs w:val="21"/>
        </w:rPr>
        <w:t>1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35" name="image5.jpeg" descr="source:si_idp757554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jpeg" descr="source:si_idp75755424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w w:val="104"/>
          <w:szCs w:val="21"/>
        </w:rPr>
        <w:t>关于光谱和光谱分析，下列说法正确的是(　　)</w:t>
      </w:r>
    </w:p>
    <w:p w14:paraId="69D3B0E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太阳光谱是连续光谱，分析太阳光谱可以知道太阳内部的化学组成</w:t>
      </w:r>
    </w:p>
    <w:p w14:paraId="614EF073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霓虹灯和炼钢炉中炽热铁水产生的光谱，都是线状谱</w:t>
      </w:r>
    </w:p>
    <w:p w14:paraId="4F480BD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强白光通过酒精灯火焰上的钠盐，形成的是吸收光谱</w:t>
      </w:r>
    </w:p>
    <w:p w14:paraId="5D7785C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进行光谱分析时，可以利用线状谱，也可以利用连续光谱</w:t>
      </w:r>
    </w:p>
    <w:p w14:paraId="406BBC06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w w:val="104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121920</wp:posOffset>
            </wp:positionV>
            <wp:extent cx="2807970" cy="647700"/>
            <wp:effectExtent l="0" t="0" r="11430" b="0"/>
            <wp:wrapNone/>
            <wp:docPr id="36" name="image5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3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B9AA0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>二、氢原子光谱的实验规律</w:t>
      </w:r>
    </w:p>
    <w:p w14:paraId="1B1A2A5F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39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44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84D62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如图所示为氢原子的光谱</w:t>
      </w:r>
      <w:r>
        <w:rPr>
          <w:rFonts w:hint="eastAsia"/>
          <w:w w:val="104"/>
          <w:szCs w:val="21"/>
        </w:rPr>
        <w:t>．</w:t>
      </w:r>
    </w:p>
    <w:p w14:paraId="39F410AA">
      <w:pPr>
        <w:tabs>
          <w:tab w:val="left" w:pos="3686"/>
        </w:tabs>
        <w:snapToGrid w:val="0"/>
        <w:rPr>
          <w:i/>
          <w:szCs w:val="21"/>
          <w:u w:val="dotted"/>
        </w:rPr>
      </w:pPr>
      <w:r>
        <w:rPr>
          <w:w w:val="104"/>
          <w:szCs w:val="21"/>
        </w:rPr>
        <w:t>仔细观察，氢原子光谱具有什么特点？</w:t>
      </w:r>
    </w:p>
    <w:p w14:paraId="4557C788">
      <w:pPr>
        <w:tabs>
          <w:tab w:val="left" w:pos="3686"/>
        </w:tabs>
        <w:snapToGrid w:val="0"/>
        <w:rPr>
          <w:szCs w:val="21"/>
        </w:rPr>
      </w:pPr>
    </w:p>
    <w:p w14:paraId="2AE9476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49" name="image537.jpeg" descr="source:si_idp9052637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537.jpeg" descr="source:si_idp905263776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例2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50" name="image538.jpeg" descr="source:si_idp9052810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538.jpeg" descr="source:si_idp905281056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　</w:t>
      </w:r>
      <w:r>
        <w:rPr>
          <w:w w:val="104"/>
          <w:szCs w:val="21"/>
        </w:rPr>
        <w:t>下列关于巴耳末公式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λ</m:t>
            </m:r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=R∞(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-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4"/>
                <w:szCs w:val="21"/>
              </w:rPr>
              <m:t>1</m:t>
            </m:r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n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)的理解，正确的是(　　)</w:t>
      </w:r>
    </w:p>
    <w:p w14:paraId="30DD316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巴耳末系的4条谱线位于红外区</w:t>
      </w:r>
    </w:p>
    <w:p w14:paraId="7E22CC8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公式中n可取任意值，故氢原子光谱是连续谱</w:t>
      </w:r>
    </w:p>
    <w:p w14:paraId="3BA9B505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公式中n只能取大于或等于3的整数，故氢原子光谱是线状谱</w:t>
      </w:r>
    </w:p>
    <w:p w14:paraId="1681FF77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在巴耳末系中n值越大，对应的波长λ越长</w:t>
      </w:r>
    </w:p>
    <w:p w14:paraId="1BA4A23D">
      <w:pPr>
        <w:tabs>
          <w:tab w:val="left" w:pos="3686"/>
        </w:tabs>
        <w:snapToGrid w:val="0"/>
        <w:rPr>
          <w:w w:val="104"/>
          <w:szCs w:val="21"/>
        </w:rPr>
      </w:pPr>
    </w:p>
    <w:p w14:paraId="73F5F2E5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hint="eastAsia" w:eastAsia="方正大黑_GBK"/>
          <w:szCs w:val="21"/>
        </w:rPr>
        <w:t>三、经典理论的困难　玻尔原子理论的基本假设</w:t>
      </w:r>
    </w:p>
    <w:p w14:paraId="5C7B6B2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0" t="0" r="9525" b="9525"/>
            <wp:docPr id="45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0" t="0" r="12065" b="10795"/>
            <wp:docPr id="46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A891A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根据卢瑟福的核式结构模型和经典电磁理论，电子绕核运动所辐射的电磁波频率应当是连续频谱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但是实际观察到的是几条不连续的亮线，其原因是什么？</w:t>
      </w:r>
    </w:p>
    <w:p w14:paraId="6F4B6191">
      <w:pPr>
        <w:tabs>
          <w:tab w:val="left" w:pos="1134"/>
        </w:tabs>
        <w:snapToGrid w:val="0"/>
        <w:rPr>
          <w:rFonts w:eastAsia="方正大黑_GBK"/>
          <w:szCs w:val="21"/>
        </w:rPr>
      </w:pPr>
    </w:p>
    <w:p w14:paraId="42506E05">
      <w:pPr>
        <w:tabs>
          <w:tab w:val="left" w:pos="1134"/>
        </w:tabs>
        <w:snapToGrid w:val="0"/>
        <w:rPr>
          <w:rFonts w:eastAsia="方正大黑_GBK"/>
          <w:szCs w:val="21"/>
        </w:rPr>
      </w:pPr>
    </w:p>
    <w:p w14:paraId="23D216B1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53" name="image541.jpeg" descr="source:si_idp9059880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541.jpeg" descr="source:si_idp905988000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例3</w:t>
      </w:r>
      <w:r>
        <w:rPr>
          <w:szCs w:val="21"/>
        </w:rPr>
        <w:drawing>
          <wp:inline distT="0" distB="0" distL="0" distR="0">
            <wp:extent cx="35560" cy="107950"/>
            <wp:effectExtent l="0" t="0" r="2540" b="6350"/>
            <wp:docPr id="554" name="image542.jpeg" descr="source:si_idp9060052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542.jpeg" descr="source:si_idp90600528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　</w:t>
      </w:r>
      <w:r>
        <w:rPr>
          <w:w w:val="104"/>
          <w:szCs w:val="21"/>
        </w:rPr>
        <w:t>若用|E1|表示氢原子处于基态时能量的绝对值，处于n=3激发态的一个氢原子向基态跃迁时　　　　(填“辐射”或“吸收”)光子的能量为</w:t>
      </w:r>
      <w:r>
        <w:rPr>
          <w:w w:val="104"/>
          <w:szCs w:val="21"/>
          <w:u w:val="single"/>
        </w:rPr>
        <w:t>　　　　</w:t>
      </w:r>
      <w:r>
        <w:rPr>
          <w:w w:val="104"/>
          <w:szCs w:val="21"/>
        </w:rPr>
        <w:t>(处于第n能级的能量为En=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w w:val="104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n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w w:val="104"/>
                <w:szCs w:val="21"/>
              </w:rPr>
            </m:ctrlPr>
          </m:den>
        </m:f>
      </m:oMath>
      <w:r>
        <w:rPr>
          <w:w w:val="104"/>
          <w:szCs w:val="21"/>
        </w:rPr>
        <w:t>)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14:paraId="7340A8DE">
      <w:pPr>
        <w:tabs>
          <w:tab w:val="left" w:pos="3686"/>
        </w:tabs>
        <w:snapToGrid w:val="0"/>
        <w:rPr>
          <w:szCs w:val="21"/>
        </w:rPr>
      </w:pPr>
    </w:p>
    <w:p w14:paraId="05778CCF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rFonts w:eastAsia="黑体"/>
        </w:rPr>
        <w:t>针对训练</w:t>
      </w:r>
      <w:r>
        <w:rPr>
          <w:rFonts w:hint="eastAsia"/>
          <w:b/>
          <w:bCs/>
        </w:rPr>
        <w:t xml:space="preserve">： </w:t>
      </w:r>
      <w:r>
        <w:rPr>
          <w:w w:val="104"/>
          <w:szCs w:val="21"/>
        </w:rPr>
        <w:t>氢原子辐射出一个光子后，根据玻尔理论，下述说法中正确的是(　　)</w:t>
      </w:r>
    </w:p>
    <w:p w14:paraId="17069284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电子绕核旋转的半径增大</w:t>
      </w:r>
    </w:p>
    <w:p w14:paraId="2155AFE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氢原子的能量增大</w:t>
      </w:r>
    </w:p>
    <w:p w14:paraId="1125DCE8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氢原子的电势能增大</w:t>
      </w:r>
    </w:p>
    <w:p w14:paraId="4FCD2789">
      <w:pPr>
        <w:tabs>
          <w:tab w:val="left" w:pos="3686"/>
        </w:tabs>
        <w:snapToGrid w:val="0"/>
        <w:rPr>
          <w:rFonts w:ascii="黑体" w:hAnsi="黑体" w:eastAsia="黑体"/>
          <w:b/>
          <w:bCs/>
          <w:sz w:val="24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氢原子核外电子的速率增大</w:t>
      </w:r>
    </w:p>
    <w:p w14:paraId="1C2B3489">
      <w:pPr>
        <w:ind w:left="482" w:hanging="482"/>
        <w:rPr>
          <w:rFonts w:ascii="黑体" w:hAnsi="黑体" w:eastAsia="黑体"/>
          <w:b/>
          <w:bCs/>
          <w:sz w:val="24"/>
        </w:rPr>
      </w:pPr>
    </w:p>
    <w:p w14:paraId="5C2468E9"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 w14:paraId="764BDA35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 w14:paraId="4E07E8F6"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1099A8E0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32230F46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509F0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A747F"/>
    <w:rsid w:val="008B0948"/>
    <w:rsid w:val="008C6012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21D476A3"/>
    <w:rsid w:val="230134E6"/>
    <w:rsid w:val="2892753D"/>
    <w:rsid w:val="30C43D3B"/>
    <w:rsid w:val="32460260"/>
    <w:rsid w:val="32A93554"/>
    <w:rsid w:val="33182487"/>
    <w:rsid w:val="3A6541B5"/>
    <w:rsid w:val="3B3C70F7"/>
    <w:rsid w:val="3DBD1576"/>
    <w:rsid w:val="3E911FA4"/>
    <w:rsid w:val="55CB491B"/>
    <w:rsid w:val="5D7C12EC"/>
    <w:rsid w:val="62AD1597"/>
    <w:rsid w:val="646557C9"/>
    <w:rsid w:val="75785F49"/>
    <w:rsid w:val="789D4EEE"/>
    <w:rsid w:val="78E25B36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99BE4-7288-45FD-8D7A-57C935CC2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8034</Words>
  <Characters>8593</Characters>
  <Lines>23</Lines>
  <Paragraphs>21</Paragraphs>
  <TotalTime>3</TotalTime>
  <ScaleCrop>false</ScaleCrop>
  <LinksUpToDate>false</LinksUpToDate>
  <CharactersWithSpaces>10270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