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60A" w:rsidRDefault="0018760A" w:rsidP="0018760A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18760A" w:rsidRDefault="0018760A" w:rsidP="0018760A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《谏逐客书》第二课时</w:t>
      </w:r>
    </w:p>
    <w:p w:rsidR="0018760A" w:rsidRDefault="0018760A" w:rsidP="0018760A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 审核人：高新艳</w:t>
      </w:r>
    </w:p>
    <w:p w:rsidR="0018760A" w:rsidRDefault="0018760A" w:rsidP="0018760A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18760A" w:rsidRDefault="0018760A" w:rsidP="0018760A">
      <w:pPr>
        <w:spacing w:after="0" w:line="240" w:lineRule="auto"/>
        <w:jc w:val="center"/>
        <w:textAlignment w:val="baseline"/>
        <w:rPr>
          <w:rFonts w:ascii="宋体" w:hAnsi="宋体" w:cs="宋体"/>
          <w:bCs/>
          <w:color w:val="000000" w:themeColor="text1"/>
          <w:szCs w:val="21"/>
          <w:u w:val="single" w:color="000000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 xml:space="preserve"> </w:t>
      </w:r>
    </w:p>
    <w:p w:rsidR="0018760A" w:rsidRDefault="0018760A" w:rsidP="0018760A">
      <w:pPr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18760A" w:rsidRDefault="0018760A" w:rsidP="0018760A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语言建构与运用：</w:t>
      </w:r>
      <w:r>
        <w:rPr>
          <w:rFonts w:ascii="宋体" w:eastAsia="宋体" w:hAnsi="宋体" w:cs="宋体" w:hint="eastAsia"/>
          <w:color w:val="000000"/>
          <w:szCs w:val="21"/>
        </w:rPr>
        <w:t>积累重要的文言字词，提高阅读浅易文言文能力。</w:t>
      </w:r>
    </w:p>
    <w:p w:rsidR="0018760A" w:rsidRDefault="0018760A" w:rsidP="0018760A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思维发展与提升：</w:t>
      </w:r>
      <w:r>
        <w:rPr>
          <w:rFonts w:ascii="宋体" w:eastAsia="宋体" w:hAnsi="宋体" w:cs="宋体" w:hint="eastAsia"/>
          <w:color w:val="000000"/>
          <w:szCs w:val="21"/>
        </w:rPr>
        <w:t>结合本文的写作背景，抓住中心论点的提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岀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方式，理清作者的论证思路。</w:t>
      </w:r>
    </w:p>
    <w:p w:rsidR="0018760A" w:rsidRDefault="0018760A" w:rsidP="0018760A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审美鉴赏与创造：</w:t>
      </w:r>
      <w:r>
        <w:rPr>
          <w:rFonts w:ascii="宋体" w:eastAsia="宋体" w:hAnsi="宋体" w:cs="宋体" w:hint="eastAsia"/>
          <w:color w:val="000000"/>
          <w:szCs w:val="21"/>
        </w:rPr>
        <w:t>赏析李斯的这篇奏书的说理艺术，学习本文运用铺陈、排比、比喻等手法增强文章感染力的方法。</w:t>
      </w:r>
    </w:p>
    <w:p w:rsidR="0018760A" w:rsidRDefault="0018760A" w:rsidP="0018760A">
      <w:pPr>
        <w:pStyle w:val="00"/>
        <w:ind w:firstLineChars="200" w:firstLine="422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文化传承与理解：</w:t>
      </w:r>
      <w:r>
        <w:rPr>
          <w:rFonts w:ascii="宋体" w:eastAsia="宋体" w:hAnsi="宋体" w:cs="宋体" w:hint="eastAsia"/>
          <w:color w:val="000000"/>
          <w:szCs w:val="21"/>
        </w:rPr>
        <w:t>学会顺情入机，动言中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务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，入情入理地发表意见，阐发主张。学习仁人志士顺应历史潮流，勇于担当时代使命的精神，加深对“抱负与使命”的认识。</w:t>
      </w:r>
    </w:p>
    <w:p w:rsidR="0018760A" w:rsidRDefault="0018760A" w:rsidP="0018760A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18760A" w:rsidRDefault="0018760A" w:rsidP="0018760A">
      <w:pPr>
        <w:pStyle w:val="1"/>
        <w:spacing w:line="24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【文体知识】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“谏……书”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auto"/>
          <w:sz w:val="21"/>
          <w:szCs w:val="21"/>
        </w:rPr>
        <w:t>谏</w:t>
      </w:r>
      <w:proofErr w:type="gramEnd"/>
      <w:r>
        <w:rPr>
          <w:rFonts w:ascii="宋体" w:eastAsia="宋体" w:hAnsi="宋体" w:cs="宋体" w:hint="eastAsia"/>
          <w:color w:val="auto"/>
          <w:sz w:val="21"/>
          <w:szCs w:val="21"/>
        </w:rPr>
        <w:t>:下对上进行劝诫的用语。书:上书,古代臣向君陈述意见的一种文体。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《谏逐客书》,书指上书,奏章。是古代臣子向君主陈述政见的一种文体。从《文选》《古文辞类纂》这类通行的选本来看,本文是我国现存最早的上行公文的范本。作为一篇不足千字(800多)的短文,流传两千余年,实在是一篇非常出色的说理文字。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奏疏:上书给天子的文章的通称。在古代,臣子向皇帝进呈的文章有各种专门名称,如:奏、疏、议、章、表、上书、封事等等。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“章”是用来谢恩的;“奏”是用来弹劾,即揭发别人的;“表”是用来陈述衷情的;“议”是用来表示不同意见的。当然,关于这些上书的名称和功用,随着时代的不同也有变化。“疏”也是臣下向皇帝陈述政见或有所劝谏的文章,如汉朝贾谊的《论积贮疏》,唐朝魏徵的《谏太宗十思疏》等等。</w:t>
      </w:r>
    </w:p>
    <w:p w:rsidR="0018760A" w:rsidRDefault="0018760A" w:rsidP="0018760A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18760A" w:rsidRDefault="0018760A" w:rsidP="0018760A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1.了解李斯其人以及文章的写作背景，积累文言基础知识。</w:t>
      </w:r>
    </w:p>
    <w:p w:rsidR="0018760A" w:rsidRDefault="0018760A" w:rsidP="0018760A">
      <w:pPr>
        <w:pStyle w:val="1"/>
        <w:spacing w:line="24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2.把握文章的思路，概括内容要点。</w:t>
      </w:r>
    </w:p>
    <w:p w:rsidR="0018760A" w:rsidRDefault="0018760A" w:rsidP="0018760A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</w:p>
    <w:p w:rsidR="0018760A" w:rsidRDefault="0018760A" w:rsidP="0018760A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1.文章第2段写法层层设喻，铺张扬厉，运笔气势纵横，论辩酣畅淋漓，历来被认为是全文最精彩的段落。请具体分析其论述层次。</w:t>
      </w: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  <w:bCs/>
        </w:rPr>
      </w:pP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  <w:bCs/>
        </w:rPr>
      </w:pP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  <w:bCs/>
        </w:rPr>
      </w:pPr>
    </w:p>
    <w:p w:rsidR="0018760A" w:rsidRDefault="0018760A" w:rsidP="0018760A">
      <w:pPr>
        <w:pStyle w:val="a9"/>
        <w:spacing w:before="0" w:beforeAutospacing="0" w:after="0" w:afterAutospacing="0" w:line="240" w:lineRule="auto"/>
        <w:ind w:firstLineChars="200"/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t>2.</w:t>
      </w:r>
      <w:r>
        <w:rPr>
          <w:rFonts w:hint="eastAsia"/>
          <w:sz w:val="21"/>
          <w:szCs w:val="21"/>
        </w:rPr>
        <w:t>第2段运用的论据有什么好处？</w:t>
      </w: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</w:p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3.清代李兆洛《骈体文钞》选录此篇为“骈体初祖”，指出了本篇对后世骈文写作的深远影响。试从修辞、辞藻、句式等角度对本文的语言进行赏析，完成下表。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893"/>
        <w:gridCol w:w="1893"/>
      </w:tblGrid>
      <w:tr w:rsidR="0018760A" w:rsidTr="00A63650">
        <w:trPr>
          <w:trHeight w:val="399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角度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例句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赏析</w:t>
            </w:r>
          </w:p>
        </w:tc>
      </w:tr>
      <w:tr w:rsidR="0018760A" w:rsidTr="00A63650">
        <w:trPr>
          <w:trHeight w:val="391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修辞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</w:p>
        </w:tc>
      </w:tr>
      <w:tr w:rsidR="0018760A" w:rsidTr="00A63650">
        <w:trPr>
          <w:trHeight w:val="399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辞藻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</w:p>
        </w:tc>
      </w:tr>
      <w:tr w:rsidR="0018760A" w:rsidTr="00A63650">
        <w:trPr>
          <w:trHeight w:val="391"/>
          <w:jc w:val="center"/>
        </w:trPr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句式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8760A" w:rsidRDefault="0018760A" w:rsidP="00A63650">
            <w:pPr>
              <w:pStyle w:val="a4"/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hAnsi="宋体" w:cs="宋体"/>
              </w:rPr>
            </w:pPr>
          </w:p>
        </w:tc>
      </w:tr>
    </w:tbl>
    <w:p w:rsidR="0018760A" w:rsidRDefault="0018760A" w:rsidP="0018760A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18760A" w:rsidRDefault="0018760A" w:rsidP="0018760A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18760A" w:rsidRDefault="0018760A" w:rsidP="0018760A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18760A" w:rsidRDefault="0018760A" w:rsidP="0018760A">
      <w:pPr>
        <w:pStyle w:val="a9"/>
        <w:spacing w:before="0" w:beforeAutospacing="0" w:after="0" w:afterAutospacing="0" w:line="240" w:lineRule="auto"/>
        <w:ind w:firstLineChars="200"/>
        <w:rPr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文章先叙述自秦穆公以来皆以</w:t>
      </w:r>
      <w:proofErr w:type="gramStart"/>
      <w:r>
        <w:rPr>
          <w:rFonts w:hint="eastAsia"/>
          <w:sz w:val="21"/>
          <w:szCs w:val="21"/>
        </w:rPr>
        <w:t>客致强</w:t>
      </w:r>
      <w:proofErr w:type="gramEnd"/>
      <w:r>
        <w:rPr>
          <w:rFonts w:hint="eastAsia"/>
          <w:sz w:val="21"/>
          <w:szCs w:val="21"/>
        </w:rPr>
        <w:t>的历史，</w:t>
      </w:r>
      <w:proofErr w:type="gramStart"/>
      <w:r>
        <w:rPr>
          <w:rFonts w:hint="eastAsia"/>
          <w:sz w:val="21"/>
          <w:szCs w:val="21"/>
        </w:rPr>
        <w:t>说明秦若无</w:t>
      </w:r>
      <w:proofErr w:type="gramEnd"/>
      <w:r>
        <w:rPr>
          <w:rFonts w:hint="eastAsia"/>
          <w:sz w:val="21"/>
          <w:szCs w:val="21"/>
        </w:rPr>
        <w:t>客的辅助则</w:t>
      </w:r>
      <w:proofErr w:type="gramStart"/>
      <w:r>
        <w:rPr>
          <w:rFonts w:hint="eastAsia"/>
          <w:sz w:val="21"/>
          <w:szCs w:val="21"/>
        </w:rPr>
        <w:t>未必强大</w:t>
      </w:r>
      <w:proofErr w:type="gramEnd"/>
      <w:r>
        <w:rPr>
          <w:rFonts w:hint="eastAsia"/>
          <w:sz w:val="21"/>
          <w:szCs w:val="21"/>
        </w:rPr>
        <w:t>的道理；然后列举各种女乐珠玉虽非秦地所产却被喜爱的事实，说明秦王不应该重物而轻人。文章立意高深，始终围绕“大一统”的目标，从秦王统一天下的高度立论，正反论证，利害并举，说明用客卿强国的重要性。</w:t>
      </w:r>
    </w:p>
    <w:p w:rsidR="000F669F" w:rsidRPr="0018760A" w:rsidRDefault="000F669F" w:rsidP="0018760A"/>
    <w:sectPr w:rsidR="000F669F" w:rsidRPr="0018760A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9C8" w:rsidRDefault="006179C8">
      <w:pPr>
        <w:spacing w:line="240" w:lineRule="auto"/>
      </w:pPr>
      <w:r>
        <w:separator/>
      </w:r>
    </w:p>
  </w:endnote>
  <w:endnote w:type="continuationSeparator" w:id="0">
    <w:p w:rsidR="006179C8" w:rsidRDefault="00617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微软雅黑"/>
    <w:charset w:val="00"/>
    <w:family w:val="roman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9C8" w:rsidRDefault="006179C8">
      <w:pPr>
        <w:spacing w:after="0"/>
      </w:pPr>
      <w:r>
        <w:separator/>
      </w:r>
    </w:p>
  </w:footnote>
  <w:footnote w:type="continuationSeparator" w:id="0">
    <w:p w:rsidR="006179C8" w:rsidRDefault="00617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00BE30"/>
    <w:multiLevelType w:val="singleLevel"/>
    <w:tmpl w:val="CA00BE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18E517"/>
    <w:multiLevelType w:val="singleLevel"/>
    <w:tmpl w:val="4E18E5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00C292"/>
    <w:multiLevelType w:val="singleLevel"/>
    <w:tmpl w:val="7500C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8380849">
    <w:abstractNumId w:val="1"/>
  </w:num>
  <w:num w:numId="2" w16cid:durableId="506604083">
    <w:abstractNumId w:val="0"/>
  </w:num>
  <w:num w:numId="3" w16cid:durableId="138139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jYWQ5MmQzZGY4Y2UxYjRjMGFmYzhlNWUyYjYxZTEifQ=="/>
    <w:docVar w:name="KSO_WPS_MARK_KEY" w:val="a8a64e29-ff86-4dfd-ad67-c28c6880b4a2"/>
  </w:docVars>
  <w:rsids>
    <w:rsidRoot w:val="002815CA"/>
    <w:rsid w:val="000F669F"/>
    <w:rsid w:val="001672CA"/>
    <w:rsid w:val="00184C11"/>
    <w:rsid w:val="00185669"/>
    <w:rsid w:val="0018760A"/>
    <w:rsid w:val="00216B0C"/>
    <w:rsid w:val="002815CA"/>
    <w:rsid w:val="00347EA1"/>
    <w:rsid w:val="003A58AD"/>
    <w:rsid w:val="003B7293"/>
    <w:rsid w:val="003C1F63"/>
    <w:rsid w:val="003E7453"/>
    <w:rsid w:val="004A6361"/>
    <w:rsid w:val="0050574D"/>
    <w:rsid w:val="005B6EF6"/>
    <w:rsid w:val="006179C8"/>
    <w:rsid w:val="00675ED6"/>
    <w:rsid w:val="006A75AB"/>
    <w:rsid w:val="00710C50"/>
    <w:rsid w:val="0072485C"/>
    <w:rsid w:val="007B0379"/>
    <w:rsid w:val="007B1256"/>
    <w:rsid w:val="008C4795"/>
    <w:rsid w:val="008E678A"/>
    <w:rsid w:val="008F74DA"/>
    <w:rsid w:val="009146A5"/>
    <w:rsid w:val="00B02937"/>
    <w:rsid w:val="00B43145"/>
    <w:rsid w:val="00B7248B"/>
    <w:rsid w:val="00C108E2"/>
    <w:rsid w:val="00C632FA"/>
    <w:rsid w:val="00D00505"/>
    <w:rsid w:val="00DD67C1"/>
    <w:rsid w:val="00E15249"/>
    <w:rsid w:val="00E17E29"/>
    <w:rsid w:val="00E310AE"/>
    <w:rsid w:val="00EA4448"/>
    <w:rsid w:val="00ED4953"/>
    <w:rsid w:val="00F50C71"/>
    <w:rsid w:val="07B0615F"/>
    <w:rsid w:val="099E28A7"/>
    <w:rsid w:val="0EDF4A3B"/>
    <w:rsid w:val="0F2603CA"/>
    <w:rsid w:val="10232551"/>
    <w:rsid w:val="121E57CD"/>
    <w:rsid w:val="1AAB3F64"/>
    <w:rsid w:val="1BB1273B"/>
    <w:rsid w:val="252D437B"/>
    <w:rsid w:val="29B1712F"/>
    <w:rsid w:val="29E67B39"/>
    <w:rsid w:val="2CD72884"/>
    <w:rsid w:val="2EB03BCE"/>
    <w:rsid w:val="3B2E3783"/>
    <w:rsid w:val="4A2E6391"/>
    <w:rsid w:val="4D6B16DA"/>
    <w:rsid w:val="532145DB"/>
    <w:rsid w:val="64F050F8"/>
    <w:rsid w:val="66841A93"/>
    <w:rsid w:val="678C5EA2"/>
    <w:rsid w:val="68C513B4"/>
    <w:rsid w:val="6F35524C"/>
    <w:rsid w:val="6FD9399F"/>
    <w:rsid w:val="737F7312"/>
    <w:rsid w:val="7E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124FA32-B57A-4096-9CD5-52BA099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  <w:rPr>
      <w:rFonts w:ascii="微软雅黑" w:eastAsia="微软雅黑" w:hAnsi="微软雅黑"/>
      <w:sz w:val="20"/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a">
    <w:name w:val="Strong"/>
    <w:qFormat/>
    <w:rPr>
      <w:b/>
      <w:bCs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spacing w:line="285" w:lineRule="exact"/>
    </w:pPr>
    <w:rPr>
      <w:rFonts w:ascii="NEU-BZ-S92" w:eastAsia="方正书宋_GBK" w:hAnsi="NEU-BZ-S92" w:cstheme="minorBidi"/>
      <w:color w:val="000000"/>
      <w:sz w:val="19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paragraph" w:customStyle="1" w:styleId="2">
    <w:name w:val="正文2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537</Characters>
  <Application>Microsoft Office Word</Application>
  <DocSecurity>0</DocSecurity>
  <Lines>28</Lines>
  <Paragraphs>25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伟 蔡</cp:lastModifiedBy>
  <cp:revision>17</cp:revision>
  <dcterms:created xsi:type="dcterms:W3CDTF">2021-12-28T13:56:00Z</dcterms:created>
  <dcterms:modified xsi:type="dcterms:W3CDTF">2025-06-08T15:33:00Z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3F0A5FC66FC1490192743642774CB7CA</vt:lpwstr>
  </property>
  <property fmtid="{D5CDD505-2E9C-101B-9397-08002B2CF9AE}" pid="4" name="KSOTemplateDocerSaveRecord">
    <vt:lpwstr>eyJoZGlkIjoiZDE3ZjllMjUxNjRlNDlhMGNkNTg5ODE5ZWUyYTI3NmQiLCJ1c2VySWQiOiI3MTE4MTA0MDQifQ==</vt:lpwstr>
  </property>
</Properties>
</file>