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8"/>
          <w:szCs w:val="28"/>
          <w:lang w:eastAsia="zh-CN"/>
        </w:rPr>
      </w:pPr>
      <w:r>
        <w:rPr>
          <w:rFonts w:hint="eastAsia" w:ascii="黑体" w:hAnsi="宋体" w:eastAsia="黑体"/>
          <w:b/>
          <w:sz w:val="28"/>
          <w:szCs w:val="28"/>
        </w:rPr>
        <w:t>江苏省仪征中学2024-2025学年度第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w:t>
      </w:r>
      <w:r>
        <w:rPr>
          <w:rFonts w:hint="eastAsia" w:ascii="黑体" w:hAnsi="宋体" w:eastAsia="黑体"/>
          <w:b/>
          <w:sz w:val="28"/>
          <w:szCs w:val="28"/>
          <w:lang w:val="en-US" w:eastAsia="zh-CN"/>
        </w:rPr>
        <w:t>学科</w:t>
      </w:r>
      <w:r>
        <w:rPr>
          <w:rFonts w:hint="eastAsia" w:ascii="黑体" w:hAnsi="宋体" w:eastAsia="黑体"/>
          <w:b/>
          <w:sz w:val="28"/>
          <w:szCs w:val="28"/>
          <w:lang w:eastAsia="zh-CN"/>
        </w:rPr>
        <w:t>作业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Times New Roman"/>
          <w:b/>
          <w:bCs/>
          <w:color w:val="000000"/>
          <w:sz w:val="28"/>
          <w:szCs w:val="32"/>
          <w:lang w:val="en-US" w:eastAsia="zh-CN"/>
        </w:rPr>
      </w:pPr>
      <w:r>
        <w:rPr>
          <w:rFonts w:hint="eastAsia" w:ascii="黑体" w:hAnsi="黑体" w:eastAsia="黑体" w:cs="Times New Roman"/>
          <w:b/>
          <w:bCs/>
          <w:color w:val="000000"/>
          <w:kern w:val="2"/>
          <w:sz w:val="28"/>
          <w:szCs w:val="32"/>
          <w:lang w:val="en-US" w:eastAsia="zh-CN" w:bidi="ar-SA"/>
        </w:rPr>
        <w:t>第九课 发展中国特色社会主义文化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Times New Roman"/>
          <w:b/>
          <w:bCs/>
          <w:color w:val="000000"/>
          <w:sz w:val="28"/>
          <w:szCs w:val="32"/>
          <w:lang w:val="en-US" w:eastAsia="zh-CN"/>
        </w:rPr>
      </w:pPr>
      <w:bookmarkStart w:id="0" w:name="_GoBack"/>
      <w:r>
        <w:rPr>
          <w:rFonts w:hint="eastAsia" w:ascii="黑体" w:hAnsi="黑体" w:eastAsia="黑体" w:cs="Times New Roman"/>
          <w:b/>
          <w:bCs/>
          <w:color w:val="000000"/>
          <w:sz w:val="28"/>
          <w:szCs w:val="32"/>
          <w:lang w:val="en-US" w:eastAsia="zh-CN"/>
        </w:rPr>
        <w:t>9.1 文化发展的必然选择</w:t>
      </w:r>
    </w:p>
    <w:bookmarkEnd w:id="0"/>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曹淑莹</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 xml:space="preserve">          </w:t>
      </w:r>
      <w:r>
        <w:rPr>
          <w:rFonts w:hint="eastAsia" w:ascii="楷体" w:hAnsi="楷体" w:eastAsia="楷体" w:cs="楷体"/>
          <w:sz w:val="24"/>
        </w:rPr>
        <w:t>建议用时</w:t>
      </w:r>
      <w:r>
        <w:rPr>
          <w:rFonts w:hint="eastAsia" w:ascii="楷体" w:hAnsi="楷体" w:eastAsia="楷体" w:cs="楷体"/>
          <w:sz w:val="24"/>
          <w:u w:val="none"/>
        </w:rPr>
        <w:t>：</w:t>
      </w:r>
      <w:r>
        <w:rPr>
          <w:rFonts w:hint="eastAsia" w:ascii="楷体" w:hAnsi="楷体" w:eastAsia="楷体" w:cs="楷体"/>
          <w:sz w:val="24"/>
          <w:u w:val="single"/>
          <w:lang w:val="en-US" w:eastAsia="zh-CN"/>
        </w:rPr>
        <w:t>30</w:t>
      </w:r>
      <w:r>
        <w:rPr>
          <w:rFonts w:hint="eastAsia" w:ascii="楷体" w:hAnsi="楷体" w:eastAsia="楷体" w:cs="楷体"/>
          <w:sz w:val="24"/>
          <w:u w:val="single"/>
        </w:rPr>
        <w:t>分钟</w:t>
      </w:r>
    </w:p>
    <w:tbl>
      <w:tblPr>
        <w:tblStyle w:val="3"/>
        <w:tblpPr w:leftFromText="180" w:rightFromText="180" w:vertAnchor="text" w:horzAnchor="page" w:tblpX="1069" w:tblpY="17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784"/>
        <w:gridCol w:w="784"/>
        <w:gridCol w:w="784"/>
        <w:gridCol w:w="784"/>
        <w:gridCol w:w="784"/>
        <w:gridCol w:w="759"/>
        <w:gridCol w:w="759"/>
        <w:gridCol w:w="759"/>
        <w:gridCol w:w="759"/>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894" w:type="dxa"/>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2</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3</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4</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5</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6</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7</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8</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9</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11</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12</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13</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14</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15</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tcPr>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896"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widowControl/>
        <w:kinsoku/>
        <w:wordWrap/>
        <w:overflowPunct/>
        <w:topLinePunct w:val="0"/>
        <w:autoSpaceDE/>
        <w:autoSpaceDN/>
        <w:bidi w:val="0"/>
        <w:adjustRightInd/>
        <w:snapToGrid/>
        <w:spacing w:line="240" w:lineRule="auto"/>
        <w:jc w:val="both"/>
        <w:rPr>
          <w:rFonts w:hint="eastAsia" w:ascii="楷体" w:hAnsi="楷体" w:eastAsia="楷体" w:cs="楷体"/>
          <w:sz w:val="24"/>
          <w:u w:val="singl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left="315" w:firstLine="0"/>
        <w:rPr>
          <w:rFonts w:eastAsia="新宋体"/>
          <w:b/>
          <w:color w:val="auto"/>
          <w:sz w:val="24"/>
          <w:szCs w:val="24"/>
        </w:rPr>
      </w:pPr>
      <w:r>
        <w:rPr>
          <w:rFonts w:hint="eastAsia" w:eastAsia="新宋体"/>
          <w:b/>
          <w:color w:val="auto"/>
          <w:sz w:val="24"/>
          <w:szCs w:val="24"/>
          <w:lang w:val="en-US" w:eastAsia="zh-CN"/>
        </w:rPr>
        <w:t>选择题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1．党的十八大以来，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实现了马克思主义中国化的历史性飞跃和创造性升华。这表明中国共产党人（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①是中华优秀传统文化的积极传承者和引领者②在思维和存在的同一性中检验并发展真理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③是马克思主义的忠诚信奉者和坚定实践者④以中国实际需要为基础，实现外来文化中国化</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2．长城是中华民族的代表性符号和中华文明的重要象征，随着时代的发展其内涵不断丰富。长征途中，毛泽东登上六盘山豪迈作词：“不到长城非好汉，屈指行程二万……今日长缨在手，何时缚住苍龙？”这表明，长城（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①代表了先进文化的前进方向</w:t>
      </w:r>
      <w:r>
        <w:rPr>
          <w:rFonts w:hint="eastAsia" w:ascii="宋体" w:hAnsi="宋体" w:cs="宋体"/>
          <w:lang w:val="en-US" w:eastAsia="zh-CN"/>
        </w:rPr>
        <w:t xml:space="preserve">      </w:t>
      </w:r>
      <w:r>
        <w:rPr>
          <w:rFonts w:hint="eastAsia" w:ascii="宋体" w:hAnsi="宋体" w:eastAsia="宋体" w:cs="宋体"/>
        </w:rPr>
        <w:t>②推动了革命文化的交流与传播</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③承载着革命理想高于天的长征精神④被赋予共产党人不畏艰险的英雄气概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3．五四运动时期，有人提出:“中西文明有根本不同之点，即一为消极的，一为积极的；一为依赖的，一为独立的；一为苟安的，一为突进的；一为因袭的，一为创造的……”材料中的观点表面看似有一定道理，但从实质上说是错误的。因为其（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①过多强调自我，拒绝文化的借鉴和融合</w:t>
      </w:r>
      <w:r>
        <w:rPr>
          <w:rFonts w:hint="eastAsia" w:ascii="宋体" w:hAnsi="宋体" w:cs="宋体"/>
          <w:lang w:val="en-US" w:eastAsia="zh-CN"/>
        </w:rPr>
        <w:t xml:space="preserve">  </w:t>
      </w:r>
      <w:r>
        <w:rPr>
          <w:rFonts w:hint="eastAsia" w:ascii="宋体" w:hAnsi="宋体" w:eastAsia="宋体" w:cs="宋体"/>
        </w:rPr>
        <w:t>②一味推崇西洋文化，有“民族虚无主义”的倾向</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③否定了中国文化绚丽的内涵和无穷的魅力④缺乏文化的包容性，排除异己，孤芳自赏</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A．①④</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C．①②</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4．“中国立国数千年，礼义纲纪，云为得失，皆奉孔子之经，若一弃之，则人皆无主，是非不知所定，进退不知所守，身无以为身，家无以为家，是大乱之道也。”要“冒万死以力保旧俗，存礼教而保国魂。”下列对上述观点的评述正确的是（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①是“文化复古主义”的观点</w:t>
      </w:r>
      <w:r>
        <w:rPr>
          <w:rFonts w:hint="eastAsia" w:ascii="宋体" w:hAnsi="宋体" w:cs="宋体"/>
          <w:lang w:val="en-US" w:eastAsia="zh-CN"/>
        </w:rPr>
        <w:t xml:space="preserve"> </w:t>
      </w:r>
      <w:r>
        <w:rPr>
          <w:rFonts w:hint="eastAsia" w:ascii="宋体" w:hAnsi="宋体" w:eastAsia="宋体" w:cs="宋体"/>
        </w:rPr>
        <w:t>②是民族虚无主义的表现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③是“全盘西化”论的观点</w:t>
      </w:r>
      <w:r>
        <w:rPr>
          <w:rFonts w:hint="eastAsia" w:ascii="宋体" w:hAnsi="宋体" w:cs="宋体"/>
          <w:lang w:val="en-US" w:eastAsia="zh-CN"/>
        </w:rPr>
        <w:t xml:space="preserve">   </w:t>
      </w:r>
      <w:r>
        <w:rPr>
          <w:rFonts w:hint="eastAsia" w:ascii="宋体" w:hAnsi="宋体" w:eastAsia="宋体" w:cs="宋体"/>
        </w:rPr>
        <w:t>④是守旧主义的表现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5．中华文化曾有过辉煌的历史，但在近代却落伍了。中华文化由衰微走向重振的重要转折点是（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A．中国共产党成立</w:t>
      </w:r>
      <w:r>
        <w:rPr>
          <w:rFonts w:hint="eastAsia" w:ascii="宋体" w:hAnsi="宋体" w:eastAsia="宋体" w:cs="宋体"/>
        </w:rPr>
        <w:tab/>
      </w:r>
      <w:r>
        <w:rPr>
          <w:rFonts w:hint="eastAsia" w:ascii="宋体" w:hAnsi="宋体" w:eastAsia="宋体" w:cs="宋体"/>
        </w:rPr>
        <w:t>B．马克思主义传入中国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C．生产资料公有制的确立</w:t>
      </w:r>
      <w:r>
        <w:rPr>
          <w:rFonts w:hint="eastAsia" w:ascii="宋体" w:hAnsi="宋体" w:eastAsia="宋体" w:cs="宋体"/>
        </w:rPr>
        <w:tab/>
      </w:r>
      <w:r>
        <w:rPr>
          <w:rFonts w:hint="eastAsia" w:ascii="宋体" w:hAnsi="宋体" w:eastAsia="宋体" w:cs="宋体"/>
        </w:rPr>
        <w:t>D．文化复古主义盛行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6．从延安革命纪念馆里陈列的“自己动手、丰衣足食”大生产运动文物，到河南红旗渠纪念馆中“劈开太行山，引来漳河水”的奋斗影像；从脱贫攻坚中“上下同心、精准务实”的攻坚精神，到北京冬奥会“胸怀大局、自信开放”的志愿文化……这些跨越时空的精神标识表明：中国共产党领导人民在革命、建设、改革中创造的文化（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①以中华优秀传统文化为源头活水，是中华民族独特的精神标识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②熔铸于党领导人民的伟大实践，是激励民族复兴的强大精神力量</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③以爱国主义为核心，是对中华民族精神的丰富和时代性发展</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④作为社会主义先进文化，决定着文化前进方向和发展道路</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7．当芭蕾舞遇上中国民族舞，在舞台上会产生怎样奇妙的化学反应呢?国家大剧院舞台上演了一场“苗味”芭蕾，舞蹈《花一样开放》讲述了乡村志愿者在苗乡的扶贫故事，巧妙地将苗族舞蹈表现手法与芭蕾相结合，给人们带来全新艺术感受。这体现了（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①中国特色社会主义文化植根于中华优秀传统文化②面向世界、博采众长是一切文艺作品创作的源泉</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③中华文化注重吸收和借鉴外来文化的有益成果④中华文化所具有的包容性，促进了自身的发展</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8．习近平指出，全面建设社会主义现代化国家，必须坚持中国特色社会主义文化发展道路，增强文化自信。这是基于中国特色社会主义文化（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①是我国取得一切进步的根本原因    ②积淀着中华民族最深沉的精神追求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③源自于中华民族孕育的优秀传统文化  ④是激励各族人民奋勇前进的强大精神力量</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9．在数千年发展历程中，亚洲人民创造了辉煌的文化成果。《诗经》《论语》《塔木德》《一千零一夜》《梨俱吠陀》《源氏物语》等名篇经典，楔形文字、地图、玻璃、阿拉伯数字、造纸术、印刷术等发明创造……既独树一帜、各领风骚，又和谐共生、交相辉映，记录了亚洲人民对美好生活的追求，都是人类文明的宝贵财富。从中得到的启示是（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①文化的多样性来自于社会生产生活的丰富性</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②历史积淀的厚度是衡量文化先进程度和文化有没有生命力的标准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③丰富多彩的优秀文化是人民群众创造力的集中体现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④文化作为一种精神力量规定了文明发展的进程和趋势</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C．①③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10．2021年10月13日第四届中国歌剧节在山东济南开幕。本届歌剧节以“歌剧艺术的盛会，人民群众的节日”为主题，将对优秀歌剧作品进行集中展示，让观众充分领略不同地域、民族、文化的歌剧艺术魅力。这些歌剧讲述中国故事，弘扬中国精神，彰显了中国气派、中国风格，培育和弘扬了社会主义核心价值观，为建设社会主义文化强国，实现中华民族的伟大复兴中国梦作出新的更大贡献。举办中国歌剧节（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①要坚持以人民为中心的创作导向，贴近大众精神生活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②将培育和弘扬社会主义核心价值观作为文化发展和创新的关键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③是建设文化强国的必由之路④能够展现中华文化的博大精深</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C．③④</w:t>
      </w:r>
      <w:r>
        <w:rPr>
          <w:rFonts w:hint="eastAsia" w:ascii="宋体" w:hAnsi="宋体" w:eastAsia="宋体" w:cs="宋体"/>
        </w:rPr>
        <w:tab/>
      </w:r>
      <w:r>
        <w:rPr>
          <w:rFonts w:hint="eastAsia" w:ascii="宋体" w:hAnsi="宋体" w:eastAsia="宋体" w:cs="宋体"/>
        </w:rPr>
        <w:t>D．①④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11．全息影像亮起，参观者与长征中的“无名英雄”“同行”；在超大全域沉浸式光影空间中，让观众身临其境地感受战役的激烈场面；模拟寒流与机械传动装置配合，让“爬雪山、过草地”有了实感……贵州长征文化数字艺术馆对弘扬长征精神进行了新探索。这表明科技（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①促进优秀传统文化实现创造性转化与创新性发展②能够以创新形式弘扬革命文化，丰富革命文化内涵</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③助力文化产品高质量供给，为红色旅游注入新活力④创新了文化载体，能更好地表达和展现文化的内容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12．“烽火连三月，家书抵万金”，革命战争年代的艰苦岁月里，家书记录着难以忘怀的往事， 更饱含着家国情。在清明节到来之际，某班级举行了“满纸家国、字字深情”革命家书阅读活动，重温革命烈士的家书有助于青少年(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①缅怀革命先烈，感受传统文化             ②弘扬科学精神，坚定文化自信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③坚守理想信念，汲取前行力量             ④明确肩上责任，涵养爱国情怀</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13．巍巍宝塔山，滚滚延河水。近日，京津冀三地的100支大学生团队、近500名师生代表，齐聚革命圣地，以脚步丈量红色历史，用心灵感悟延安精神，开启了一堂别开生面的“行走的思政课”。上好行走的思政课，旨在（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①弘扬延安精神，筑牢青年学生的信仰之基②继承革命文化，确立红色文化的社会价值</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③汲取历史智慧，坚定“跟党走”的政治自觉④参与实践教学，丰富中国共产党人精神谱系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14．入选“人类非物质文化遗产代表作名录”的中国剪纸，孕育于各族人民的社会生活，取材于现实生活中的所见所闻，随着历史的变迁，其内容和形式不断创新。近年来中国剪纸走向海外广受喜爱，不仅增强了我国民众的文化自豪感，也推动了中西文明的交流互鉴。可见，中国剪纸文化（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①来源于人民在所见所闻中形成的灵感②以物化的形式发挥着教化育人的作用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③立足时代铸牢了中华民族共同体意识④坚持了面向外来吸收外来的发展方向</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15．习近平总书记在文化传承发展座谈会上，发出“共同努力创造属于我们这个时代的新文化”的号召。这个新文化，就是中国特色社会主义文化。创造这个新文化的正确路径，就是“两个结合”。“两个结合”让“中国特色社会主义道路有了更加宏阔深远的历史纵深，拓展了中国特色社会主义道路的文化根基”。走中国特色社会主义文化发展道路（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①才能建设社会主义文化强国，发展中国特色社会主义事业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②由我国文化自身发展规律决定，是由党的性质宗旨决定的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③必须要继承和创新中华传统文化，发展社会主义先进文化</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④要立足马克思主义，实现中华文化的创造性转化、创新性发展</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jc w:val="both"/>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auto"/>
        <w:ind w:left="420" w:firstLine="0"/>
        <w:rPr>
          <w:rFonts w:eastAsia="新宋体"/>
          <w:b/>
          <w:color w:val="auto"/>
          <w:sz w:val="24"/>
          <w:szCs w:val="24"/>
        </w:rPr>
      </w:pPr>
      <w:r>
        <w:rPr>
          <w:rFonts w:hint="eastAsia" w:eastAsia="新宋体"/>
          <w:b/>
          <w:color w:val="auto"/>
          <w:sz w:val="24"/>
          <w:szCs w:val="24"/>
          <w:lang w:val="en-US" w:eastAsia="zh-CN"/>
        </w:rPr>
        <w:t>主观题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420" w:hanging="420"/>
        <w:jc w:val="left"/>
        <w:textAlignment w:val="center"/>
      </w:pPr>
      <w:r>
        <w:t>16．阅读材料，完成下列要求。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420" w:firstLine="0"/>
        <w:jc w:val="left"/>
        <w:textAlignment w:val="center"/>
      </w:pPr>
      <w:r>
        <w:rPr>
          <w:rFonts w:ascii="楷体" w:hAnsi="楷体" w:eastAsia="楷体" w:cs="楷体"/>
        </w:rPr>
        <w:t>2024年是中法建交60周年。60年前，法国成为第一个同新中国正式建交的西方大国。60年来，两国在政治、经济、文化等多个领域展开了广泛的交流与合作。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420" w:firstLine="0"/>
        <w:jc w:val="left"/>
        <w:textAlignment w:val="center"/>
      </w:pPr>
      <w:r>
        <w:rPr>
          <w:rFonts w:ascii="楷体" w:hAnsi="楷体" w:eastAsia="楷体" w:cs="楷体"/>
        </w:rPr>
        <w:t>中法两国文化交流历史悠久。300多年前，一艘名为“安菲特利特号”的法国商船远涉重洋抵达中国，拉开了中法文化交往的序幕。2003年，法国成为第一个同中国互办文化年、互设文化中心的国家。2024中法文化旅游年期间，中法双方合作举办数百项精彩活动，涵盖文化遗产、旅游推广等多个领域；中国各地古博物馆通过数字艺术、绘画等艺术形式，引导观众进入一个时空穿越的艺术之旅，感受中法文化、古今艺术的深度交流与碰撞。文化交流不仅增进了中法两国的友谊，还推动了人类文明的进步发展。</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420" w:firstLine="0"/>
        <w:jc w:val="left"/>
        <w:textAlignment w:val="center"/>
        <w:rPr>
          <w:rFonts w:hint="eastAsia" w:ascii="宋体" w:hAnsi="宋体" w:eastAsia="宋体" w:cs="宋体"/>
        </w:rPr>
      </w:pPr>
      <w:r>
        <w:rPr>
          <w:rFonts w:hint="eastAsia" w:ascii="宋体" w:hAnsi="宋体" w:eastAsia="宋体" w:cs="宋体"/>
        </w:rPr>
        <w:t>“中法文化交流搭建了文明互鉴、民心相通的桥梁。”结合材料并运用文化传承与文化创新的知识加以说明。</w:t>
      </w:r>
      <w:r>
        <w:rPr>
          <w:rFonts w:hint="eastAsia"/>
          <w:lang w:val="en-US" w:eastAsia="zh-CN"/>
        </w:rPr>
        <w:t>（6分）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rPr>
          <w:rFonts w:hint="default" w:eastAsia="宋体"/>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420" w:hanging="420"/>
        <w:jc w:val="left"/>
        <w:textAlignment w:val="center"/>
        <w:rPr>
          <w:rFonts w:ascii="楷体" w:hAnsi="楷体" w:eastAsia="楷体" w:cs="楷体"/>
          <w:sz w:val="21"/>
        </w:rPr>
      </w:pPr>
      <w:r>
        <w:t>1</w:t>
      </w:r>
      <w:r>
        <w:rPr>
          <w:rFonts w:hint="eastAsia"/>
          <w:lang w:val="en-US" w:eastAsia="zh-CN"/>
        </w:rPr>
        <w:t>7</w:t>
      </w:r>
      <w:r>
        <w:t>．阅读材料，完成下列要求。</w:t>
      </w:r>
    </w:p>
    <w:p>
      <w:pPr>
        <w:keepNext w:val="0"/>
        <w:keepLines w:val="0"/>
        <w:pageBreakBefore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先辈们抛洒热血的地方，已成为革命传统教育的生动课堂，一处处革命文化场馆已成为红色教育的重要阵地。</w:t>
      </w:r>
    </w:p>
    <w:p>
      <w:pPr>
        <w:keepNext w:val="0"/>
        <w:keepLines w:val="0"/>
        <w:pageBreakBefore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在互联网和科技加持下，更多革命文化场馆选择了更亲民、更时尚的展览叙事方式和展陈形式，让每一件革命文物变得“可触达”。平津战役纪念馆运用多维演示技术，结合声光电和多媒体技术，配合原有球形观演空间，打造了360°旋转斜坡式观众看台，营造出“大全景式”《平津战役》多维演绎过程，有效增强了观众的体验感。中共一大纪念馆近期推出的LBEVR红色文化沉浸式体验展“数字一大·初心之旅”，以其独特的魅力吸引了众多市民与游客前来参观，让他们仿佛穿越时空，亲身经历那段史诗般的红色历史。2024年8月1日，南昌八一起义纪念馆首次将数字灯光秀与革命旧址进行尝试性融合，推出一场科技赋能的视觉盛宴——“光影八一”灯光秀。“光影八一”灯光秀采用当下流行的新媒体技术3DMapping，利用南昌起义总指挥部旧址自身的建筑结构及特点，将光影与建筑、色彩与线条巧妙结合，配合声音和音乐特效，带来光影交错的视觉享受。</w:t>
      </w:r>
    </w:p>
    <w:p>
      <w:pPr>
        <w:keepNext w:val="0"/>
        <w:keepLines w:val="0"/>
        <w:pageBreakBefore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年轻人循着故事来、带着信仰走，深切感受革命先烈的英勇事迹和崇高精神，自觉成为让党放心、爱国奉献、担当民族复兴重任的时代新人。</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eastAsia="宋体"/>
          <w:b/>
          <w:bCs/>
          <w:sz w:val="21"/>
          <w:lang w:eastAsia="zh-CN"/>
        </w:rPr>
      </w:pPr>
      <w:r>
        <w:rPr>
          <w:b/>
          <w:bCs/>
          <w:sz w:val="21"/>
        </w:rPr>
        <w:t>结合材料，运用“文化传承与文化创新”知识，分析各地是如何利用革命文物弘扬革命文化、传承红色基因的。</w:t>
      </w:r>
      <w:r>
        <w:rPr>
          <w:rFonts w:hint="eastAsia"/>
          <w:b/>
          <w:bCs/>
          <w:sz w:val="21"/>
          <w:lang w:eastAsia="zh-CN"/>
        </w:rPr>
        <w:t>（</w:t>
      </w:r>
      <w:r>
        <w:rPr>
          <w:rFonts w:hint="eastAsia"/>
          <w:b/>
          <w:bCs/>
          <w:sz w:val="21"/>
          <w:lang w:val="en-US" w:eastAsia="zh-CN"/>
        </w:rPr>
        <w:t>4分</w:t>
      </w:r>
      <w:r>
        <w:rPr>
          <w:rFonts w:hint="eastAsia"/>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rPr>
          <w:rFonts w:hint="default" w:eastAsia="宋体"/>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420" w:hanging="420"/>
        <w:jc w:val="left"/>
        <w:textAlignment w:val="center"/>
        <w:rPr>
          <w:rFonts w:ascii="楷体" w:hAnsi="楷体" w:eastAsia="楷体" w:cs="楷体"/>
          <w:sz w:val="21"/>
        </w:rPr>
      </w:pPr>
      <w:r>
        <w:t>1</w:t>
      </w:r>
      <w:r>
        <w:rPr>
          <w:rFonts w:hint="eastAsia"/>
          <w:lang w:val="en-US" w:eastAsia="zh-CN"/>
        </w:rPr>
        <w:t>8</w:t>
      </w:r>
      <w:r>
        <w:t>．阅读材料，完成下列要求。</w:t>
      </w:r>
    </w:p>
    <w:p>
      <w:pPr>
        <w:keepNext w:val="0"/>
        <w:keepLines w:val="0"/>
        <w:pageBreakBefore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Times New Roman" w:hAnsi="Times New Roman" w:eastAsia="Times New Roman" w:cs="Times New Roman"/>
          <w:kern w:val="0"/>
          <w:sz w:val="24"/>
          <w:szCs w:val="24"/>
        </w:rPr>
        <w:t> </w:t>
      </w:r>
      <w:r>
        <w:rPr>
          <w:rFonts w:ascii="楷体" w:hAnsi="楷体" w:eastAsia="楷体" w:cs="楷体"/>
          <w:sz w:val="21"/>
        </w:rPr>
        <w:t>爱国主义自古以来就流淌在中华民族血脉之中。在世代传承中，中华优秀传统文化形成讲仁爱、重民本、守诚信、崇正义、尚和合、求大同的时代价值，其独特创造、价值理念和鲜明特色深刻体现着爱国主义精神。近代以来，中国人民正是在反抗列强侵略斗争中进一步增强中华民族共同体意识。中国共产党成立后，团结和带领中国人民为实现中华民族伟大复兴进行了可歌可泣的艰苦斗争，孕育了伟大建党精神、红船精神、井冈山精神、长征精神等一系列伟大民族精神，书写了爱国主义的辉煌篇章。</w:t>
      </w:r>
    </w:p>
    <w:p>
      <w:pPr>
        <w:keepNext w:val="0"/>
        <w:keepLines w:val="0"/>
        <w:pageBreakBefore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《中华人民共和国爱国主义教育法》已于2024年1月1日正式施行。新征程上，要让爱国主义精神代代相传、发扬光大。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eastAsia="宋体"/>
          <w:b/>
          <w:bCs/>
          <w:sz w:val="21"/>
          <w:lang w:eastAsia="zh-CN"/>
        </w:rPr>
      </w:pPr>
      <w:r>
        <w:rPr>
          <w:b/>
          <w:bCs/>
          <w:sz w:val="21"/>
        </w:rPr>
        <w:t>结合材料，运用文化传承与文化创新的知识，阐述我们应如何传承弘扬爱国主义精神，奏响新时代爱国奋斗的最强音。</w:t>
      </w:r>
      <w:r>
        <w:rPr>
          <w:rFonts w:hint="eastAsia"/>
          <w:b/>
          <w:bCs/>
          <w:sz w:val="21"/>
          <w:lang w:eastAsia="zh-CN"/>
        </w:rPr>
        <w:t>（</w:t>
      </w:r>
      <w:r>
        <w:rPr>
          <w:rFonts w:hint="eastAsia"/>
          <w:b/>
          <w:bCs/>
          <w:sz w:val="21"/>
          <w:lang w:val="en-US" w:eastAsia="zh-CN"/>
        </w:rPr>
        <w:t>10分</w:t>
      </w:r>
      <w:r>
        <w:rPr>
          <w:rFonts w:hint="eastAsia"/>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rPr>
          <w:rFonts w:hint="default" w:eastAsia="宋体"/>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rPr>
          <w:rFonts w:hint="eastAsia"/>
          <w:u w:val="dotted"/>
          <w:lang w:val="en-US" w:eastAsia="zh-CN"/>
        </w:rPr>
      </w:pPr>
      <w:r>
        <w:rPr>
          <w:rFonts w:hint="eastAsia"/>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firstLine="0"/>
        <w:jc w:val="left"/>
        <w:textAlignment w:val="center"/>
        <w:rPr>
          <w:rFonts w:hint="eastAsia" w:ascii="宋体" w:hAnsi="宋体" w:eastAsia="宋体" w:cs="宋体"/>
        </w:rPr>
      </w:pPr>
      <w:r>
        <w:rPr>
          <w:rFonts w:hint="eastAsia"/>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rPr>
      </w:pPr>
    </w:p>
    <w:p>
      <w:pPr>
        <w:keepNext w:val="0"/>
        <w:keepLines w:val="0"/>
        <w:pageBreakBefore w:val="0"/>
        <w:shd w:val="clear" w:color="auto" w:fill="auto"/>
        <w:kinsoku/>
        <w:wordWrap/>
        <w:overflowPunct/>
        <w:topLinePunct w:val="0"/>
        <w:autoSpaceDE/>
        <w:autoSpaceDN/>
        <w:bidi w:val="0"/>
        <w:adjustRightInd/>
        <w:snapToGrid/>
        <w:spacing w:before="0" w:after="0" w:line="240" w:lineRule="auto"/>
        <w:ind w:left="420" w:firstLine="0"/>
        <w:jc w:val="left"/>
        <w:textAlignment w:val="center"/>
        <w:rPr>
          <w:rFonts w:hint="eastAsia" w:ascii="宋体" w:hAnsi="宋体" w:eastAsia="宋体" w:cs="宋体"/>
        </w:rPr>
      </w:pPr>
    </w:p>
    <w:p>
      <w:pPr>
        <w:keepNext w:val="0"/>
        <w:keepLines w:val="0"/>
        <w:pageBreakBefore w:val="0"/>
        <w:shd w:val="clear" w:color="auto" w:fill="auto"/>
        <w:kinsoku/>
        <w:wordWrap/>
        <w:overflowPunct/>
        <w:topLinePunct w:val="0"/>
        <w:autoSpaceDE/>
        <w:autoSpaceDN/>
        <w:bidi w:val="0"/>
        <w:adjustRightInd/>
        <w:snapToGrid/>
        <w:spacing w:before="0" w:after="0" w:line="240" w:lineRule="auto"/>
        <w:ind w:left="420" w:firstLine="0"/>
        <w:jc w:val="left"/>
        <w:textAlignment w:val="center"/>
        <w:rPr>
          <w:rFonts w:hint="eastAsia" w:ascii="宋体" w:hAnsi="宋体" w:eastAsia="宋体" w:cs="宋体"/>
        </w:rPr>
      </w:pPr>
    </w:p>
    <w:p>
      <w:pPr>
        <w:keepNext w:val="0"/>
        <w:keepLines w:val="0"/>
        <w:pageBreakBefore w:val="0"/>
        <w:shd w:val="clear" w:color="auto" w:fill="auto"/>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AACA8"/>
    <w:multiLevelType w:val="singleLevel"/>
    <w:tmpl w:val="0FCAACA8"/>
    <w:lvl w:ilvl="0" w:tentative="0">
      <w:start w:val="2"/>
      <w:numFmt w:val="chineseCounting"/>
      <w:suff w:val="nothing"/>
      <w:lvlText w:val="%1、"/>
      <w:lvlJc w:val="left"/>
      <w:rPr>
        <w:rFonts w:hint="eastAsia"/>
      </w:rPr>
    </w:lvl>
  </w:abstractNum>
  <w:abstractNum w:abstractNumId="1">
    <w:nsid w:val="77F0BF2C"/>
    <w:multiLevelType w:val="singleLevel"/>
    <w:tmpl w:val="77F0BF2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31CB137D"/>
    <w:rsid w:val="31CB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2025-06-04T02:55:00Z</dcterms:created>
  <dc:creator>庆阳</dc:creator>
  <cp:lastModifiedBy>庆阳</cp:lastModifiedBy>
  <dcterms:modified xsi:type="dcterms:W3CDTF">2025-06-04T02:55:51Z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B31D88694316406E83E8DD53BCBA772C</vt:lpwstr>
  </property>
</Properties>
</file>