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tabs>
          <w:tab w:val="left" w:pos="4140"/>
        </w:tabs>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pP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江苏省仪征中学202</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4</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—202</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5</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学年度第</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二</w:t>
      </w:r>
      <w:r>
        <w:rPr>
          <w:rFonts w:hint="eastAsia" w:asciiTheme="majorEastAsia" w:hAnsiTheme="majorEastAsia" w:eastAsiaTheme="majorEastAsia" w:cstheme="majorEastAsia"/>
          <w:b/>
          <w:bCs w:val="0"/>
          <w:color w:val="000000" w:themeColor="text1"/>
          <w:sz w:val="32"/>
          <w:szCs w:val="32"/>
          <w14:textFill>
            <w14:solidFill>
              <w14:schemeClr w14:val="tx1"/>
            </w14:solidFill>
          </w14:textFill>
        </w:rPr>
        <w:t>学期</w:t>
      </w:r>
      <w:r>
        <w:rPr>
          <w:rFonts w:hint="eastAsia" w:asciiTheme="majorEastAsia" w:hAnsiTheme="majorEastAsia" w:eastAsiaTheme="majorEastAsia" w:cstheme="majorEastAsia"/>
          <w:b/>
          <w:bCs w:val="0"/>
          <w:color w:val="000000" w:themeColor="text1"/>
          <w:sz w:val="32"/>
          <w:szCs w:val="32"/>
          <w:lang w:val="en-US" w:eastAsia="zh-CN"/>
          <w14:textFill>
            <w14:solidFill>
              <w14:schemeClr w14:val="tx1"/>
            </w14:solidFill>
          </w14:textFill>
        </w:rPr>
        <w:t>周末作业6</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b w:val="0"/>
          <w:bCs/>
          <w:color w:val="000000" w:themeColor="text1"/>
          <w:sz w:val="30"/>
          <w:szCs w:val="30"/>
          <w:lang w:eastAsia="zh-CN"/>
          <w14:textFill>
            <w14:solidFill>
              <w14:schemeClr w14:val="tx1"/>
            </w14:solidFill>
          </w14:textFill>
        </w:rPr>
      </w:pPr>
      <w:r>
        <w:rPr>
          <w:rFonts w:hint="eastAsia" w:ascii="黑体" w:hAnsi="黑体" w:eastAsia="黑体" w:cs="黑体"/>
          <w:b w:val="0"/>
          <w:bCs/>
          <w:color w:val="000000" w:themeColor="text1"/>
          <w:sz w:val="30"/>
          <w:szCs w:val="30"/>
          <w14:textFill>
            <w14:solidFill>
              <w14:schemeClr w14:val="tx1"/>
            </w14:solidFill>
          </w14:textFill>
        </w:rPr>
        <w:t>高</w:t>
      </w:r>
      <w:r>
        <w:rPr>
          <w:rFonts w:hint="eastAsia" w:ascii="黑体" w:hAnsi="黑体" w:eastAsia="黑体" w:cs="黑体"/>
          <w:b w:val="0"/>
          <w:bCs/>
          <w:color w:val="000000" w:themeColor="text1"/>
          <w:sz w:val="30"/>
          <w:szCs w:val="30"/>
          <w:lang w:val="en-US" w:eastAsia="zh-CN"/>
          <w14:textFill>
            <w14:solidFill>
              <w14:schemeClr w14:val="tx1"/>
            </w14:solidFill>
          </w14:textFill>
        </w:rPr>
        <w:t>二</w:t>
      </w:r>
      <w:r>
        <w:rPr>
          <w:rFonts w:hint="eastAsia" w:ascii="黑体" w:hAnsi="黑体" w:eastAsia="黑体" w:cs="黑体"/>
          <w:b w:val="0"/>
          <w:bCs/>
          <w:color w:val="000000" w:themeColor="text1"/>
          <w:sz w:val="30"/>
          <w:szCs w:val="30"/>
          <w:lang w:eastAsia="zh-CN"/>
          <w14:textFill>
            <w14:solidFill>
              <w14:schemeClr w14:val="tx1"/>
            </w14:solidFill>
          </w14:textFill>
        </w:rPr>
        <w:t>地理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楷体" w:hAnsi="楷体" w:eastAsia="楷体" w:cs="楷体"/>
          <w:bCs/>
          <w:color w:val="000000" w:themeColor="text1"/>
          <w:sz w:val="24"/>
          <w:lang w:val="en-US" w:eastAsia="zh-CN"/>
          <w14:textFill>
            <w14:solidFill>
              <w14:schemeClr w14:val="tx1"/>
            </w14:solidFill>
          </w14:textFill>
        </w:rPr>
      </w:pPr>
      <w:r>
        <w:rPr>
          <w:rFonts w:hint="eastAsia" w:ascii="楷体" w:hAnsi="楷体" w:eastAsia="楷体" w:cs="楷体"/>
          <w:b w:val="0"/>
          <w:bCs/>
          <w:color w:val="000000" w:themeColor="text1"/>
          <w:sz w:val="24"/>
          <w:szCs w:val="24"/>
          <w:lang w:eastAsia="zh-CN"/>
          <w14:textFill>
            <w14:solidFill>
              <w14:schemeClr w14:val="tx1"/>
            </w14:solidFill>
          </w14:textFill>
        </w:rPr>
        <w:t>研制人：刘</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永飞       </w:t>
      </w:r>
      <w:r>
        <w:rPr>
          <w:rFonts w:hint="eastAsia" w:ascii="楷体" w:hAnsi="楷体" w:eastAsia="楷体" w:cs="楷体"/>
          <w:b w:val="0"/>
          <w:bCs/>
          <w:color w:val="000000" w:themeColor="text1"/>
          <w:sz w:val="24"/>
          <w:szCs w:val="24"/>
          <w:lang w:eastAsia="zh-CN"/>
          <w14:textFill>
            <w14:solidFill>
              <w14:schemeClr w14:val="tx1"/>
            </w14:solidFill>
          </w14:textFill>
        </w:rPr>
        <w:t xml:space="preserve"> 审核人：</w:t>
      </w:r>
      <w:r>
        <w:rPr>
          <w:rFonts w:hint="eastAsia" w:ascii="楷体" w:hAnsi="楷体" w:eastAsia="楷体" w:cs="楷体"/>
          <w:b w:val="0"/>
          <w:bCs/>
          <w:color w:val="000000" w:themeColor="text1"/>
          <w:sz w:val="24"/>
          <w:szCs w:val="24"/>
          <w:lang w:val="en-US" w:eastAsia="zh-CN"/>
          <w14:textFill>
            <w14:solidFill>
              <w14:schemeClr w14:val="tx1"/>
            </w14:solidFill>
          </w14:textFill>
        </w:rPr>
        <w:t xml:space="preserve">秦文俊     </w:t>
      </w:r>
    </w:p>
    <w:p>
      <w:pPr>
        <w:pStyle w:val="2"/>
        <w:keepNext w:val="0"/>
        <w:keepLines w:val="0"/>
        <w:pageBreakBefore w:val="0"/>
        <w:widowControl w:val="0"/>
        <w:numPr>
          <w:ilvl w:val="0"/>
          <w:numId w:val="0"/>
        </w:numPr>
        <w:tabs>
          <w:tab w:val="left" w:pos="3261"/>
        </w:tabs>
        <w:kinsoku/>
        <w:wordWrap/>
        <w:overflowPunct/>
        <w:topLinePunct w:val="0"/>
        <w:autoSpaceDE/>
        <w:autoSpaceDN/>
        <w:bidi w:val="0"/>
        <w:adjustRightInd/>
        <w:snapToGrid w:val="0"/>
        <w:spacing w:line="240" w:lineRule="auto"/>
        <w:jc w:val="both"/>
        <w:rPr>
          <w:rFonts w:ascii="楷体" w:hAnsi="楷体" w:eastAsia="楷体" w:cs="楷体"/>
          <w:sz w:val="21"/>
        </w:rPr>
      </w:pPr>
      <w:r>
        <w:rPr>
          <w:rFonts w:hint="eastAsia" w:ascii="黑体" w:hAnsi="黑体" w:eastAsia="黑体" w:cs="黑体"/>
          <w:b/>
          <w:bCs/>
          <w:lang w:val="en-US" w:eastAsia="zh-CN"/>
        </w:rPr>
        <w:t>一、选择题</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pPr>
      <w:r>
        <w:rPr>
          <w:rFonts w:ascii="楷体" w:hAnsi="楷体" w:eastAsia="楷体" w:cs="楷体"/>
          <w:sz w:val="21"/>
        </w:rPr>
        <w:t>歌曲《苹果香》用其悠扬的旋律和细腻而富有地域特色的歌词，承载了创作者对故乡的眷恋和对逝去时光的追忆。请欣赏部分歌词</w:t>
      </w:r>
      <w:r>
        <w:rPr>
          <w:rFonts w:hint="eastAsia" w:ascii="楷体" w:hAnsi="楷体" w:eastAsia="楷体" w:cs="楷体"/>
          <w:sz w:val="21"/>
          <w:lang w:val="en-US" w:eastAsia="zh-CN"/>
        </w:rPr>
        <w:t>,</w:t>
      </w:r>
      <w:r>
        <w:rPr>
          <w:rFonts w:ascii="楷体" w:hAnsi="楷体" w:eastAsia="楷体" w:cs="楷体"/>
          <w:sz w:val="21"/>
        </w:rPr>
        <w:t>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pPr>
      <w:r>
        <w:rPr>
          <w:rFonts w:ascii="楷体" w:hAnsi="楷体" w:eastAsia="楷体" w:cs="楷体"/>
          <w:sz w:val="21"/>
        </w:rPr>
        <w:t>“红嘴雁飞回芦苇随风摆，河对面的莎吾烈泰，今天在不在？那年我饮马来到了你的白毡房……草原、河谷、月季花香，都是我的歌……如今往事远了、模糊了，我却忘不了苹果香。</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sz w:val="21"/>
        </w:rPr>
        <w:t>1．该歌曲所描述的景观最有可能属于我国的省级行政区是（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sz w:val="21"/>
        </w:rPr>
      </w:pPr>
      <w:r>
        <w:rPr>
          <w:sz w:val="21"/>
        </w:rPr>
        <w:t>A．内蒙古自治区</w:t>
      </w:r>
      <w:r>
        <w:rPr>
          <w:sz w:val="21"/>
        </w:rPr>
        <w:tab/>
      </w:r>
      <w:r>
        <w:rPr>
          <w:sz w:val="21"/>
        </w:rPr>
        <w:t>B．河南省</w:t>
      </w:r>
      <w:r>
        <w:rPr>
          <w:sz w:val="21"/>
        </w:rPr>
        <w:tab/>
      </w:r>
      <w:r>
        <w:rPr>
          <w:color w:val="FF0000"/>
          <w:sz w:val="21"/>
        </w:rPr>
        <w:t>C．新疆维吾尔自治区</w:t>
      </w:r>
      <w:r>
        <w:rPr>
          <w:sz w:val="21"/>
        </w:rPr>
        <w:tab/>
      </w:r>
      <w:r>
        <w:rPr>
          <w:sz w:val="21"/>
        </w:rPr>
        <w:t>D．贵州省</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sz w:val="21"/>
        </w:rPr>
        <w:t>2．歌词中“莎吾烈泰”是我国某少数民族的一个人名，其可能的少数民族是（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sz w:val="21"/>
        </w:rPr>
      </w:pPr>
      <w:r>
        <w:rPr>
          <w:color w:val="FF0000"/>
          <w:sz w:val="21"/>
        </w:rPr>
        <w:t>A．哈萨克族</w:t>
      </w:r>
      <w:r>
        <w:rPr>
          <w:sz w:val="21"/>
        </w:rPr>
        <w:tab/>
      </w:r>
      <w:r>
        <w:rPr>
          <w:sz w:val="21"/>
        </w:rPr>
        <w:t>B．朝鲜族</w:t>
      </w:r>
      <w:r>
        <w:rPr>
          <w:sz w:val="21"/>
        </w:rPr>
        <w:tab/>
      </w:r>
      <w:r>
        <w:rPr>
          <w:sz w:val="21"/>
        </w:rPr>
        <w:t>C．蒙古族</w:t>
      </w:r>
      <w:r>
        <w:rPr>
          <w:sz w:val="21"/>
        </w:rPr>
        <w:tab/>
      </w:r>
      <w:r>
        <w:rPr>
          <w:sz w:val="21"/>
        </w:rPr>
        <w:t>D．高山族</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sz w:val="21"/>
        </w:rPr>
        <w:t>3．歌词中的“今天”可能是（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sz w:val="21"/>
        </w:rPr>
      </w:pPr>
      <w:r>
        <w:rPr>
          <w:sz w:val="21"/>
        </w:rPr>
        <w:t>A．1月</w:t>
      </w:r>
      <w:r>
        <w:rPr>
          <w:sz w:val="21"/>
        </w:rPr>
        <w:tab/>
      </w:r>
      <w:r>
        <w:rPr>
          <w:color w:val="FF0000"/>
          <w:sz w:val="21"/>
        </w:rPr>
        <w:t>B．4月</w:t>
      </w:r>
      <w:r>
        <w:rPr>
          <w:sz w:val="21"/>
        </w:rPr>
        <w:tab/>
      </w:r>
      <w:r>
        <w:rPr>
          <w:sz w:val="21"/>
        </w:rPr>
        <w:t>C．9月</w:t>
      </w:r>
      <w:r>
        <w:rPr>
          <w:sz w:val="21"/>
        </w:rPr>
        <w:tab/>
      </w:r>
      <w:r>
        <w:rPr>
          <w:sz w:val="21"/>
        </w:rPr>
        <w:t>D．11月</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sz w:val="21"/>
        </w:rPr>
      </w:pPr>
      <w:r>
        <w:rPr>
          <w:rFonts w:ascii="楷体" w:hAnsi="楷体" w:eastAsia="楷体" w:cs="楷体"/>
          <w:sz w:val="21"/>
        </w:rPr>
        <w:t>“南人习床，北人尚炕”，火炕是北方居民睡卧设施。炕的位置和面积随着时代、区域的差异而变化。图为我国辽宁南部地区某村落</w:t>
      </w:r>
      <w:r>
        <w:rPr>
          <w:sz w:val="21"/>
        </w:rPr>
        <w:t>27</w:t>
      </w:r>
      <w:r>
        <w:rPr>
          <w:rFonts w:ascii="楷体" w:hAnsi="楷体" w:eastAsia="楷体" w:cs="楷体"/>
          <w:sz w:val="21"/>
        </w:rPr>
        <w:t>座民居炕屋面积与南向住宅建筑面积比统计图（括号内数字为建设年份）。据此完成下面小题。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52445" cy="1863090"/>
            <wp:effectExtent l="0" t="0" r="10795" b="11430"/>
            <wp:docPr id="100005" name="图片 100005" descr="@@@cd596bf6-7e06-41f3-969f-28ca044123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cd596bf6-7e06-41f3-969f-28ca0441238d"/>
                    <pic:cNvPicPr>
                      <a:picLocks noChangeAspect="1"/>
                    </pic:cNvPicPr>
                  </pic:nvPicPr>
                  <pic:blipFill>
                    <a:blip r:embed="rId5"/>
                    <a:stretch>
                      <a:fillRect/>
                    </a:stretch>
                  </pic:blipFill>
                  <pic:spPr>
                    <a:xfrm>
                      <a:off x="0" y="0"/>
                      <a:ext cx="3052445" cy="186309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4</w:t>
      </w:r>
      <w:r>
        <w:rPr>
          <w:sz w:val="21"/>
        </w:rPr>
        <w:t>．造成南北方睡卧差异的根本原因是（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00"/>
        <w:jc w:val="left"/>
        <w:textAlignment w:val="center"/>
        <w:rPr>
          <w:sz w:val="21"/>
        </w:rPr>
      </w:pPr>
      <w:r>
        <w:rPr>
          <w:sz w:val="21"/>
        </w:rPr>
        <w:t>A．地形</w:t>
      </w:r>
      <w:r>
        <w:rPr>
          <w:sz w:val="21"/>
        </w:rPr>
        <w:tab/>
      </w:r>
      <w:r>
        <w:rPr>
          <w:sz w:val="21"/>
        </w:rPr>
        <w:t>B．降水</w:t>
      </w:r>
      <w:r>
        <w:rPr>
          <w:sz w:val="21"/>
        </w:rPr>
        <w:tab/>
      </w:r>
      <w:r>
        <w:rPr>
          <w:color w:val="FF0000"/>
          <w:sz w:val="21"/>
        </w:rPr>
        <w:t>C．气温</w:t>
      </w:r>
      <w:r>
        <w:rPr>
          <w:sz w:val="21"/>
        </w:rPr>
        <w:tab/>
      </w:r>
      <w:r>
        <w:rPr>
          <w:sz w:val="21"/>
        </w:rPr>
        <w:t>D．经济</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5</w:t>
      </w:r>
      <w:r>
        <w:rPr>
          <w:sz w:val="21"/>
        </w:rPr>
        <w:t>．与I区域相比，Ⅱ区域（</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sz w:val="21"/>
        </w:rPr>
      </w:pPr>
      <w:r>
        <w:rPr>
          <w:color w:val="FF0000"/>
          <w:sz w:val="21"/>
        </w:rPr>
        <w:t>A．炕屋面积占比小，但居住条件好</w:t>
      </w:r>
      <w:r>
        <w:rPr>
          <w:sz w:val="21"/>
        </w:rPr>
        <w:tab/>
      </w:r>
      <w:r>
        <w:rPr>
          <w:sz w:val="21"/>
        </w:rPr>
        <w:t>B．炕屋面积小，房屋保温性能不足</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00"/>
        <w:jc w:val="left"/>
        <w:textAlignment w:val="center"/>
        <w:rPr>
          <w:sz w:val="21"/>
        </w:rPr>
      </w:pPr>
      <w:r>
        <w:rPr>
          <w:sz w:val="21"/>
        </w:rPr>
        <w:t>C．经济水平低，炕屋面积小性能差</w:t>
      </w:r>
      <w:r>
        <w:rPr>
          <w:sz w:val="21"/>
        </w:rPr>
        <w:tab/>
      </w:r>
      <w:r>
        <w:rPr>
          <w:sz w:val="21"/>
        </w:rPr>
        <w:t>D．劳动力流失，炕屋大量闲置浪费</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sz w:val="21"/>
        </w:rPr>
      </w:pPr>
      <w:r>
        <w:rPr>
          <w:rFonts w:ascii="楷体" w:hAnsi="楷体" w:eastAsia="楷体" w:cs="楷体"/>
          <w:sz w:val="21"/>
        </w:rPr>
        <w:t>黑河市是我国第一批沿边开放的城市。下图示意</w:t>
      </w:r>
      <w:r>
        <w:rPr>
          <w:sz w:val="21"/>
        </w:rPr>
        <w:t>2007—2017</w:t>
      </w:r>
      <w:r>
        <w:rPr>
          <w:rFonts w:ascii="楷体" w:hAnsi="楷体" w:eastAsia="楷体" w:cs="楷体"/>
          <w:sz w:val="21"/>
        </w:rPr>
        <w:t>年黑河市产业结构变化情况。据此完成下面小题。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33700" cy="1553845"/>
            <wp:effectExtent l="0" t="0" r="7620" b="635"/>
            <wp:docPr id="100023" name="图片 100023" descr="@@@8953dfe3-3d55-41ba-8a25-1a5e2034bf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953dfe3-3d55-41ba-8a25-1a5e2034bfc9"/>
                    <pic:cNvPicPr>
                      <a:picLocks noChangeAspect="1"/>
                    </pic:cNvPicPr>
                  </pic:nvPicPr>
                  <pic:blipFill>
                    <a:blip r:embed="rId6"/>
                    <a:stretch>
                      <a:fillRect/>
                    </a:stretch>
                  </pic:blipFill>
                  <pic:spPr>
                    <a:xfrm>
                      <a:off x="0" y="0"/>
                      <a:ext cx="2933700" cy="15538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6</w:t>
      </w:r>
      <w:r>
        <w:rPr>
          <w:sz w:val="21"/>
        </w:rPr>
        <w:t>．2007—2017年，黑河市产业结构的变化特征是（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color w:val="FF0000"/>
          <w:sz w:val="21"/>
        </w:rPr>
        <w:t>A．第一产业整体波动增长</w:t>
      </w:r>
      <w:r>
        <w:rPr>
          <w:sz w:val="21"/>
        </w:rPr>
        <w:tab/>
      </w:r>
      <w:r>
        <w:rPr>
          <w:sz w:val="21"/>
        </w:rPr>
        <w:t>B．第二产业波动变化大</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C．第三产业整体波动上升</w:t>
      </w:r>
      <w:r>
        <w:rPr>
          <w:sz w:val="21"/>
        </w:rPr>
        <w:tab/>
      </w:r>
      <w:r>
        <w:rPr>
          <w:sz w:val="21"/>
        </w:rPr>
        <w:t>D．产业结构不断优化</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7</w:t>
      </w:r>
      <w:r>
        <w:rPr>
          <w:sz w:val="21"/>
        </w:rPr>
        <w:t>．2007—2017年，黑河市第一产业比重高的原因是（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sz w:val="21"/>
        </w:rPr>
      </w:pPr>
      <w:r>
        <w:rPr>
          <w:sz w:val="21"/>
        </w:rPr>
        <w:t>A．工业基础好</w:t>
      </w:r>
      <w:r>
        <w:rPr>
          <w:sz w:val="21"/>
        </w:rPr>
        <w:tab/>
      </w:r>
      <w:r>
        <w:rPr>
          <w:sz w:val="21"/>
        </w:rPr>
        <w:t>B．水热资源充足</w:t>
      </w:r>
      <w:r>
        <w:rPr>
          <w:sz w:val="21"/>
        </w:rPr>
        <w:tab/>
      </w:r>
      <w:r>
        <w:rPr>
          <w:color w:val="FF0000"/>
          <w:sz w:val="21"/>
        </w:rPr>
        <w:t>C．耕地面积大</w:t>
      </w:r>
      <w:r>
        <w:rPr>
          <w:sz w:val="21"/>
        </w:rPr>
        <w:tab/>
      </w:r>
      <w:r>
        <w:rPr>
          <w:sz w:val="21"/>
        </w:rPr>
        <w:t>D．劳动力数量多</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8</w:t>
      </w:r>
      <w:r>
        <w:rPr>
          <w:sz w:val="21"/>
        </w:rPr>
        <w:t>．黑河市产业结构特征对当地的影响主要表现在（</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A．吸引省外人口迁入量增加</w:t>
      </w:r>
      <w:r>
        <w:rPr>
          <w:sz w:val="21"/>
        </w:rPr>
        <w:tab/>
      </w:r>
      <w:r>
        <w:rPr>
          <w:sz w:val="21"/>
        </w:rPr>
        <w:t>B．城市占地规模不断缩小</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FF0000"/>
          <w:sz w:val="21"/>
        </w:rPr>
      </w:pPr>
      <w:r>
        <w:rPr>
          <w:sz w:val="21"/>
        </w:rPr>
        <w:t>C．农作物种植面积减少显著</w:t>
      </w:r>
      <w:r>
        <w:rPr>
          <w:sz w:val="21"/>
        </w:rPr>
        <w:tab/>
      </w:r>
      <w:r>
        <w:rPr>
          <w:color w:val="FF0000"/>
          <w:sz w:val="21"/>
        </w:rPr>
        <w:t>D．城市收缩现象比较明显</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sz w:val="21"/>
        </w:rPr>
      </w:pPr>
      <w:r>
        <w:rPr>
          <w:rFonts w:ascii="楷体" w:hAnsi="楷体" w:eastAsia="楷体" w:cs="楷体"/>
          <w:sz w:val="21"/>
        </w:rPr>
        <w:t>赤峰市位于内蒙古自治区东南部，地处内蒙古高原向松辽平原的过渡地带，总土地面积</w:t>
      </w:r>
      <w:r>
        <w:rPr>
          <w:sz w:val="21"/>
        </w:rPr>
        <w:t>9</w:t>
      </w:r>
      <w:r>
        <w:rPr>
          <w:rFonts w:ascii="楷体" w:hAnsi="楷体" w:eastAsia="楷体" w:cs="楷体"/>
          <w:sz w:val="21"/>
        </w:rPr>
        <w:t>万</w:t>
      </w:r>
      <w:r>
        <w:rPr>
          <w:sz w:val="21"/>
        </w:rPr>
        <w:t>k㎡</w:t>
      </w:r>
      <w:r>
        <w:rPr>
          <w:rFonts w:ascii="楷体" w:hAnsi="楷体" w:eastAsia="楷体" w:cs="楷体"/>
          <w:sz w:val="21"/>
        </w:rPr>
        <w:t>，是内蒙古自治区受荒漠化影响最严重的地区之一。下图示意</w:t>
      </w:r>
      <w:r>
        <w:rPr>
          <w:sz w:val="21"/>
        </w:rPr>
        <w:t>2000</w:t>
      </w:r>
      <w:r>
        <w:rPr>
          <w:rFonts w:ascii="楷体" w:hAnsi="楷体" w:eastAsia="楷体" w:cs="楷体"/>
          <w:sz w:val="21"/>
        </w:rPr>
        <w:t>～</w:t>
      </w:r>
      <w:r>
        <w:rPr>
          <w:sz w:val="21"/>
        </w:rPr>
        <w:t>2022</w:t>
      </w:r>
      <w:r>
        <w:rPr>
          <w:rFonts w:ascii="楷体" w:hAnsi="楷体" w:eastAsia="楷体" w:cs="楷体"/>
          <w:sz w:val="21"/>
        </w:rPr>
        <w:t>年赤峰市荒漠化年际变化。据此完成下面小题。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01160" cy="1642745"/>
            <wp:effectExtent l="0" t="0" r="5080" b="3175"/>
            <wp:docPr id="100041" name="图片 100041" descr="@@@787297f0-5f88-496a-9320-c7334273a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787297f0-5f88-496a-9320-c7334273a749"/>
                    <pic:cNvPicPr>
                      <a:picLocks noChangeAspect="1"/>
                    </pic:cNvPicPr>
                  </pic:nvPicPr>
                  <pic:blipFill>
                    <a:blip r:embed="rId7"/>
                    <a:stretch>
                      <a:fillRect/>
                    </a:stretch>
                  </pic:blipFill>
                  <pic:spPr>
                    <a:xfrm>
                      <a:off x="0" y="0"/>
                      <a:ext cx="4201160" cy="164274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9</w:t>
      </w:r>
      <w:r>
        <w:rPr>
          <w:sz w:val="21"/>
        </w:rPr>
        <w:t>．据图中信息可推知，2000～2022年赤峰市（</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A．荒漠化面积占比呈上升趋势</w:t>
      </w:r>
      <w:r>
        <w:rPr>
          <w:sz w:val="21"/>
        </w:rPr>
        <w:tab/>
      </w:r>
      <w:r>
        <w:rPr>
          <w:sz w:val="21"/>
        </w:rPr>
        <w:t>B．中度荒漠化面积占比波动较小</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color w:val="FF0000"/>
          <w:sz w:val="21"/>
        </w:rPr>
        <w:t>C．2009年荒漠化面积占比最大</w:t>
      </w:r>
      <w:r>
        <w:rPr>
          <w:sz w:val="21"/>
        </w:rPr>
        <w:tab/>
      </w:r>
      <w:r>
        <w:rPr>
          <w:sz w:val="21"/>
        </w:rPr>
        <w:t>D．2022年非荒漠化面积占比最小</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10</w:t>
      </w:r>
      <w:r>
        <w:rPr>
          <w:sz w:val="21"/>
        </w:rPr>
        <w:t>．2014～2022年荒漠化面积占比变化说明赤峰市（</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A．大力承接产业转移</w:t>
      </w:r>
      <w:r>
        <w:rPr>
          <w:sz w:val="21"/>
        </w:rPr>
        <w:tab/>
      </w:r>
      <w:r>
        <w:rPr>
          <w:sz w:val="21"/>
        </w:rPr>
        <w:t>B．气温显著升高</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color w:val="FF0000"/>
          <w:sz w:val="21"/>
        </w:rPr>
        <w:t>C．生态环境明显改善</w:t>
      </w:r>
      <w:r>
        <w:rPr>
          <w:sz w:val="21"/>
        </w:rPr>
        <w:tab/>
      </w:r>
      <w:r>
        <w:rPr>
          <w:sz w:val="21"/>
        </w:rPr>
        <w:t>D．耕地面积增加</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sz w:val="21"/>
        </w:rPr>
      </w:pPr>
      <w:r>
        <w:rPr>
          <w:rFonts w:ascii="楷体" w:hAnsi="楷体" w:eastAsia="楷体" w:cs="楷体"/>
          <w:sz w:val="21"/>
        </w:rPr>
        <w:t>近年来，全球范围内制造业转移出现新的变化。下图为</w:t>
      </w:r>
      <w:r>
        <w:rPr>
          <w:sz w:val="21"/>
        </w:rPr>
        <w:t>“</w:t>
      </w:r>
      <w:r>
        <w:rPr>
          <w:rFonts w:ascii="楷体" w:hAnsi="楷体" w:eastAsia="楷体" w:cs="楷体"/>
          <w:sz w:val="21"/>
        </w:rPr>
        <w:t>我国不同行业制造业转移指数（</w:t>
      </w:r>
      <w:r>
        <w:rPr>
          <w:sz w:val="21"/>
        </w:rPr>
        <w:t>R</w:t>
      </w:r>
      <w:r>
        <w:rPr>
          <w:rFonts w:ascii="楷体" w:hAnsi="楷体" w:eastAsia="楷体" w:cs="楷体"/>
          <w:sz w:val="21"/>
        </w:rPr>
        <w:t>）图</w:t>
      </w:r>
      <w:r>
        <w:rPr>
          <w:sz w:val="21"/>
        </w:rPr>
        <w:t>”</w:t>
      </w:r>
      <w:r>
        <w:rPr>
          <w:rFonts w:ascii="楷体" w:hAnsi="楷体" w:eastAsia="楷体" w:cs="楷体"/>
          <w:sz w:val="21"/>
        </w:rPr>
        <w:t>，纵坐标表示</w:t>
      </w:r>
      <w:r>
        <w:rPr>
          <w:sz w:val="21"/>
        </w:rPr>
        <w:t>2022</w:t>
      </w:r>
      <w:r>
        <w:rPr>
          <w:rFonts w:ascii="楷体" w:hAnsi="楷体" w:eastAsia="楷体" w:cs="楷体"/>
          <w:sz w:val="21"/>
        </w:rPr>
        <w:t>年转移指数（正值为转出，负值为转入），横坐标表示</w:t>
      </w:r>
      <w:r>
        <w:rPr>
          <w:sz w:val="21"/>
        </w:rPr>
        <w:t>2022</w:t>
      </w:r>
      <w:r>
        <w:rPr>
          <w:rFonts w:ascii="楷体" w:hAnsi="楷体" w:eastAsia="楷体" w:cs="楷体"/>
          <w:sz w:val="21"/>
        </w:rPr>
        <w:t>年与</w:t>
      </w:r>
      <w:r>
        <w:rPr>
          <w:sz w:val="21"/>
        </w:rPr>
        <w:t>2015</w:t>
      </w:r>
      <w:r>
        <w:rPr>
          <w:rFonts w:ascii="楷体" w:hAnsi="楷体" w:eastAsia="楷体" w:cs="楷体"/>
          <w:sz w:val="21"/>
        </w:rPr>
        <w:t>年转移指数差值。完成下面小题。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34055" cy="1678305"/>
            <wp:effectExtent l="0" t="0" r="12065" b="13335"/>
            <wp:docPr id="100083" name="图片 100083" descr="@@@a94ad67a25a64861952556935d26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a94ad67a25a64861952556935d264731"/>
                    <pic:cNvPicPr>
                      <a:picLocks noChangeAspect="1"/>
                    </pic:cNvPicPr>
                  </pic:nvPicPr>
                  <pic:blipFill>
                    <a:blip r:embed="rId8"/>
                    <a:stretch>
                      <a:fillRect/>
                    </a:stretch>
                  </pic:blipFill>
                  <pic:spPr>
                    <a:xfrm>
                      <a:off x="0" y="0"/>
                      <a:ext cx="3234055" cy="167830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11</w:t>
      </w:r>
      <w:r>
        <w:rPr>
          <w:sz w:val="21"/>
        </w:rPr>
        <w:t>．与2015年相比，2022年向国内转移但趋势放缓的制造业是（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color w:val="FF0000"/>
          <w:sz w:val="21"/>
        </w:rPr>
        <w:t>A．信息制造业</w:t>
      </w:r>
      <w:r>
        <w:rPr>
          <w:rFonts w:hint="eastAsia"/>
          <w:color w:val="FF0000"/>
          <w:sz w:val="21"/>
          <w:lang w:val="en-US" w:eastAsia="zh-CN"/>
        </w:rPr>
        <w:t xml:space="preserve">    </w:t>
      </w:r>
      <w:r>
        <w:rPr>
          <w:sz w:val="21"/>
        </w:rPr>
        <w:t>B．非金属制造业</w:t>
      </w:r>
      <w:r>
        <w:rPr>
          <w:rFonts w:hint="eastAsia"/>
          <w:sz w:val="21"/>
          <w:lang w:val="en-US" w:eastAsia="zh-CN"/>
        </w:rPr>
        <w:t xml:space="preserve">     </w:t>
      </w:r>
      <w:r>
        <w:rPr>
          <w:sz w:val="21"/>
        </w:rPr>
        <w:t>C．家具制造业</w:t>
      </w:r>
      <w:r>
        <w:rPr>
          <w:sz w:val="21"/>
        </w:rPr>
        <w:tab/>
      </w:r>
      <w:r>
        <w:rPr>
          <w:sz w:val="21"/>
        </w:rPr>
        <w:t>D．电子设备制造业</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12</w:t>
      </w:r>
      <w:r>
        <w:rPr>
          <w:sz w:val="21"/>
        </w:rPr>
        <w:t>．影响图中I区域内的制造业向境外转移的主要因素是（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A．市场营销成本</w:t>
      </w:r>
      <w:r>
        <w:rPr>
          <w:rFonts w:hint="eastAsia"/>
          <w:sz w:val="21"/>
          <w:lang w:val="en-US" w:eastAsia="zh-CN"/>
        </w:rPr>
        <w:t xml:space="preserve">     </w:t>
      </w:r>
      <w:r>
        <w:rPr>
          <w:sz w:val="21"/>
        </w:rPr>
        <w:t>B．原料成本</w:t>
      </w:r>
      <w:r>
        <w:rPr>
          <w:rFonts w:hint="eastAsia"/>
          <w:sz w:val="21"/>
          <w:lang w:val="en-US" w:eastAsia="zh-CN"/>
        </w:rPr>
        <w:t xml:space="preserve">     </w:t>
      </w:r>
      <w:r>
        <w:rPr>
          <w:color w:val="FF0000"/>
          <w:sz w:val="21"/>
        </w:rPr>
        <w:t>C．劳动力成本</w:t>
      </w:r>
      <w:r>
        <w:rPr>
          <w:rFonts w:hint="eastAsia"/>
          <w:color w:val="FF0000"/>
          <w:sz w:val="21"/>
          <w:lang w:val="en-US" w:eastAsia="zh-CN"/>
        </w:rPr>
        <w:t xml:space="preserve">     </w:t>
      </w:r>
      <w:r>
        <w:rPr>
          <w:sz w:val="21"/>
        </w:rPr>
        <w:tab/>
      </w:r>
      <w:r>
        <w:rPr>
          <w:sz w:val="21"/>
        </w:rPr>
        <w:t>D．设备成本</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13</w:t>
      </w:r>
      <w:r>
        <w:rPr>
          <w:sz w:val="21"/>
        </w:rPr>
        <w:t>．我国制造业转移出现的变化，有利于（</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sz w:val="21"/>
        </w:rPr>
      </w:pPr>
      <w:r>
        <w:rPr>
          <w:sz w:val="21"/>
        </w:rPr>
        <w:t>A．带动基础设施的全面建设</w:t>
      </w:r>
      <w:r>
        <w:rPr>
          <w:rFonts w:hint="eastAsia"/>
          <w:sz w:val="21"/>
          <w:lang w:val="en-US" w:eastAsia="zh-CN"/>
        </w:rPr>
        <w:t xml:space="preserve">           </w:t>
      </w:r>
      <w:r>
        <w:rPr>
          <w:sz w:val="21"/>
        </w:rPr>
        <w:t>B．营造良好的国际投资环境</w:t>
      </w:r>
    </w:p>
    <w:p>
      <w:pPr>
        <w:keepNext w:val="0"/>
        <w:keepLines w:val="0"/>
        <w:pageBreakBefore w:val="0"/>
        <w:widowControl w:val="0"/>
        <w:shd w:val="clear" w:color="auto" w:fill="auto"/>
        <w:kinsoku/>
        <w:wordWrap/>
        <w:overflowPunct/>
        <w:topLinePunct w:val="0"/>
        <w:autoSpaceDE/>
        <w:autoSpaceDN/>
        <w:bidi w:val="0"/>
        <w:adjustRightInd/>
        <w:spacing w:line="240" w:lineRule="auto"/>
        <w:ind w:left="460"/>
        <w:jc w:val="left"/>
        <w:textAlignment w:val="center"/>
        <w:rPr>
          <w:sz w:val="21"/>
        </w:rPr>
      </w:pPr>
      <w:r>
        <w:rPr>
          <w:color w:val="FF0000"/>
          <w:sz w:val="21"/>
        </w:rPr>
        <w:t>C．提高产业链的现代化水平</w:t>
      </w:r>
      <w:r>
        <w:rPr>
          <w:rFonts w:hint="eastAsia"/>
          <w:color w:val="FF0000"/>
          <w:sz w:val="21"/>
          <w:lang w:val="en-US" w:eastAsia="zh-CN"/>
        </w:rPr>
        <w:t xml:space="preserve">           </w:t>
      </w:r>
      <w:r>
        <w:rPr>
          <w:sz w:val="21"/>
        </w:rPr>
        <w:t>D．降低我国的环境保护成本</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碳汇指环境对碳的吸收蓄积作用，主要包括植被、土壤和水域碳吸收。图</w:t>
      </w:r>
      <w:r>
        <w:rPr>
          <w:rFonts w:ascii="Times New Roman" w:hAnsi="Times New Roman" w:eastAsia="Times New Roman" w:cs="Times New Roman"/>
          <w:color w:val="000000"/>
        </w:rPr>
        <w:t>1</w:t>
      </w:r>
      <w:r>
        <w:rPr>
          <w:rFonts w:ascii="楷体" w:hAnsi="楷体" w:eastAsia="楷体" w:cs="楷体"/>
          <w:color w:val="000000"/>
        </w:rPr>
        <w:t>为</w:t>
      </w:r>
      <w:r>
        <w:rPr>
          <w:rFonts w:ascii="Times New Roman" w:hAnsi="Times New Roman" w:eastAsia="Times New Roman" w:cs="Times New Roman"/>
          <w:color w:val="000000"/>
        </w:rPr>
        <w:t>2000-2020</w:t>
      </w:r>
      <w:r>
        <w:rPr>
          <w:rFonts w:ascii="楷体" w:hAnsi="楷体" w:eastAsia="楷体" w:cs="楷体"/>
          <w:color w:val="000000"/>
        </w:rPr>
        <w:t>年长三角地区及其中的江苏、浙江两省碳汇量图，图</w:t>
      </w:r>
      <w:r>
        <w:rPr>
          <w:rFonts w:ascii="Times New Roman" w:hAnsi="Times New Roman" w:eastAsia="Times New Roman" w:cs="Times New Roman"/>
          <w:color w:val="000000"/>
        </w:rPr>
        <w:t>2</w:t>
      </w:r>
      <w:r>
        <w:rPr>
          <w:rFonts w:ascii="楷体" w:hAnsi="楷体" w:eastAsia="楷体" w:cs="楷体"/>
          <w:color w:val="000000"/>
        </w:rPr>
        <w:t>为长三角地区及其中的江苏、浙江两省碳补偿率（</w:t>
      </w:r>
      <w:r>
        <w:drawing>
          <wp:inline distT="0" distB="0" distL="114300" distR="114300">
            <wp:extent cx="1800860" cy="177800"/>
            <wp:effectExtent l="0" t="0" r="1270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800860" cy="177800"/>
                    </a:xfrm>
                    <a:prstGeom prst="rect">
                      <a:avLst/>
                    </a:prstGeom>
                    <a:noFill/>
                    <a:ln>
                      <a:noFill/>
                    </a:ln>
                  </pic:spPr>
                </pic:pic>
              </a:graphicData>
            </a:graphic>
          </wp:inline>
        </w:drawing>
      </w:r>
      <w:r>
        <w:rPr>
          <w:rFonts w:ascii="楷体" w:hAnsi="楷体" w:eastAsia="楷体" w:cs="楷体"/>
          <w:color w:val="000000"/>
        </w:rPr>
        <w:t>）变化折线图。据此，完成下面小题。</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2763520" cy="1607820"/>
            <wp:effectExtent l="0" t="0" r="10160" b="7620"/>
            <wp:docPr id="1" name="图片 1"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B0chYAqJCofNAx1ODbqMbQ=="/>
                    <pic:cNvPicPr>
                      <a:picLocks noChangeAspect="1"/>
                    </pic:cNvPicPr>
                  </pic:nvPicPr>
                  <pic:blipFill>
                    <a:blip r:embed="rId10"/>
                    <a:stretch>
                      <a:fillRect/>
                    </a:stretch>
                  </pic:blipFill>
                  <pic:spPr>
                    <a:xfrm>
                      <a:off x="0" y="0"/>
                      <a:ext cx="2763520" cy="1607820"/>
                    </a:xfrm>
                    <a:prstGeom prst="rect">
                      <a:avLst/>
                    </a:prstGeom>
                  </pic:spPr>
                </pic:pic>
              </a:graphicData>
            </a:graphic>
          </wp:inline>
        </w:drawing>
      </w:r>
      <w:r>
        <w:rPr>
          <w:color w:val="000000"/>
        </w:rPr>
        <w:drawing>
          <wp:inline distT="0" distB="0" distL="114300" distR="114300">
            <wp:extent cx="2900680" cy="1643380"/>
            <wp:effectExtent l="0" t="0" r="10160" b="2540"/>
            <wp:docPr id="100021" name="图片 100021"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B0chYAqJCofNAx1ODbqMbQ=="/>
                    <pic:cNvPicPr>
                      <a:picLocks noChangeAspect="1"/>
                    </pic:cNvPicPr>
                  </pic:nvPicPr>
                  <pic:blipFill>
                    <a:blip r:embed="rId11"/>
                    <a:stretch>
                      <a:fillRect/>
                    </a:stretch>
                  </pic:blipFill>
                  <pic:spPr>
                    <a:xfrm>
                      <a:off x="0" y="0"/>
                      <a:ext cx="2900680" cy="16433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14</w:t>
      </w:r>
      <w:r>
        <w:rPr>
          <w:color w:val="000000"/>
        </w:rPr>
        <w:t xml:space="preserve">. </w:t>
      </w:r>
      <w:r>
        <w:rPr>
          <w:rFonts w:ascii="宋体" w:hAnsi="宋体" w:eastAsia="宋体" w:cs="宋体"/>
          <w:color w:val="000000"/>
        </w:rPr>
        <w:t>浙江省碳汇量较江苏省高，主要是因为浙江省（</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产业碳排放量较低</w:t>
      </w:r>
      <w:r>
        <w:rPr>
          <w:color w:val="000000"/>
        </w:rPr>
        <w:tab/>
      </w:r>
      <w:r>
        <w:rPr>
          <w:color w:val="000000"/>
        </w:rPr>
        <w:t xml:space="preserve">B. </w:t>
      </w:r>
      <w:r>
        <w:rPr>
          <w:rFonts w:ascii="宋体" w:hAnsi="宋体" w:eastAsia="宋体" w:cs="宋体"/>
          <w:color w:val="000000"/>
        </w:rPr>
        <w:t>能源利用效率较高</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陆地水域面积较小</w:t>
      </w:r>
      <w:r>
        <w:rPr>
          <w:color w:val="000000"/>
        </w:rPr>
        <w:tab/>
      </w:r>
      <w:r>
        <w:rPr>
          <w:color w:val="000000"/>
        </w:rPr>
        <w:t xml:space="preserve">D. </w:t>
      </w:r>
      <w:r>
        <w:rPr>
          <w:rFonts w:ascii="宋体" w:hAnsi="宋体" w:eastAsia="宋体" w:cs="宋体"/>
          <w:color w:val="000000"/>
        </w:rPr>
        <w:t>植被覆盖面积较广</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15</w:t>
      </w:r>
      <w:r>
        <w:rPr>
          <w:color w:val="000000"/>
        </w:rPr>
        <w:t xml:space="preserve">. </w:t>
      </w:r>
      <w:r>
        <w:rPr>
          <w:rFonts w:ascii="宋体" w:hAnsi="宋体" w:eastAsia="宋体" w:cs="宋体"/>
          <w:color w:val="000000"/>
        </w:rPr>
        <w:t>长三角地区碳补偿率持续下降表明区域内（</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产业结构快速优化</w:t>
      </w:r>
      <w:r>
        <w:rPr>
          <w:color w:val="000000"/>
        </w:rPr>
        <w:tab/>
      </w:r>
      <w:r>
        <w:rPr>
          <w:color w:val="000000"/>
        </w:rPr>
        <w:t xml:space="preserve">B. </w:t>
      </w:r>
      <w:r>
        <w:rPr>
          <w:rFonts w:ascii="宋体" w:hAnsi="宋体" w:eastAsia="宋体" w:cs="宋体"/>
          <w:color w:val="000000"/>
        </w:rPr>
        <w:t>碳汇能力持续增强</w:t>
      </w:r>
    </w:p>
    <w:p>
      <w:pPr>
        <w:keepNext w:val="0"/>
        <w:keepLines w:val="0"/>
        <w:pageBreakBefore w:val="0"/>
        <w:widowControl w:val="0"/>
        <w:tabs>
          <w:tab w:val="left" w:pos="4873"/>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C. </w:t>
      </w:r>
      <w:r>
        <w:rPr>
          <w:rFonts w:ascii="宋体" w:hAnsi="宋体" w:eastAsia="宋体" w:cs="宋体"/>
          <w:color w:val="000000"/>
        </w:rPr>
        <w:t>能源消耗增长较多</w:t>
      </w:r>
      <w:r>
        <w:rPr>
          <w:color w:val="000000"/>
        </w:rPr>
        <w:tab/>
      </w:r>
      <w:r>
        <w:rPr>
          <w:color w:val="000000"/>
        </w:rPr>
        <w:t xml:space="preserve">D. </w:t>
      </w:r>
      <w:r>
        <w:rPr>
          <w:rFonts w:ascii="宋体" w:hAnsi="宋体" w:eastAsia="宋体" w:cs="宋体"/>
          <w:color w:val="000000"/>
        </w:rPr>
        <w:t>植被覆盖面积减少</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560"/>
        <w:jc w:val="left"/>
        <w:textAlignment w:val="center"/>
        <w:rPr>
          <w:sz w:val="21"/>
        </w:rPr>
      </w:pPr>
      <w:r>
        <w:rPr>
          <w:rFonts w:ascii="楷体" w:hAnsi="楷体" w:eastAsia="楷体" w:cs="楷体"/>
          <w:sz w:val="21"/>
        </w:rPr>
        <w:t>中巴经济走廊起点在喀什国际枢纽港，终点在巴基斯坦瓜达尔港，北接“丝绸之路经济带”，南连“21世纪海上丝绸之路”，是贯通南北丝绸之路的关键枢纽。下图示意中巴经济走廊。据此完成下面小题。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743200" cy="1548130"/>
            <wp:effectExtent l="0" t="0" r="0" b="6350"/>
            <wp:docPr id="100089" name="图片 100089" descr="@@@3f164d02-7e95-4fea-8d14-63846e38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3f164d02-7e95-4fea-8d14-63846e388648"/>
                    <pic:cNvPicPr>
                      <a:picLocks noChangeAspect="1"/>
                    </pic:cNvPicPr>
                  </pic:nvPicPr>
                  <pic:blipFill>
                    <a:blip r:embed="rId12"/>
                    <a:stretch>
                      <a:fillRect/>
                    </a:stretch>
                  </pic:blipFill>
                  <pic:spPr>
                    <a:xfrm>
                      <a:off x="0" y="0"/>
                      <a:ext cx="2743200" cy="1548130"/>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16</w:t>
      </w:r>
      <w:r>
        <w:rPr>
          <w:sz w:val="21"/>
        </w:rPr>
        <w:t>．为更好地推动喀什国际枢纽港高质量发展，可采取的最优措施是（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sz w:val="21"/>
        </w:rPr>
      </w:pPr>
      <w:r>
        <w:rPr>
          <w:sz w:val="21"/>
        </w:rPr>
        <w:t>A．发展高新技术产业，推动经济发展</w:t>
      </w:r>
      <w:r>
        <w:rPr>
          <w:sz w:val="21"/>
        </w:rPr>
        <w:tab/>
      </w:r>
      <w:r>
        <w:rPr>
          <w:sz w:val="21"/>
        </w:rPr>
        <w:t>B．拓展海港业务，提高对外开放水平</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sz w:val="21"/>
        </w:rPr>
      </w:pPr>
      <w:r>
        <w:rPr>
          <w:color w:val="FF0000"/>
          <w:sz w:val="21"/>
        </w:rPr>
        <w:t>C．完善交通网络，增强国际经贸往来</w:t>
      </w:r>
      <w:r>
        <w:rPr>
          <w:sz w:val="21"/>
        </w:rPr>
        <w:tab/>
      </w:r>
      <w:r>
        <w:rPr>
          <w:sz w:val="21"/>
        </w:rPr>
        <w:t>D．加强环境治理，打造生态宜居城市</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17</w:t>
      </w:r>
      <w:r>
        <w:rPr>
          <w:sz w:val="21"/>
        </w:rPr>
        <w:t>．通过中巴经济走廊，双方合作的主要领域最可能是（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460"/>
        <w:jc w:val="left"/>
        <w:textAlignment w:val="center"/>
        <w:rPr>
          <w:color w:val="FF0000"/>
          <w:sz w:val="21"/>
        </w:rPr>
      </w:pPr>
      <w:r>
        <w:rPr>
          <w:sz w:val="21"/>
        </w:rPr>
        <w:t>A．精细化工产业</w:t>
      </w:r>
      <w:r>
        <w:rPr>
          <w:sz w:val="21"/>
        </w:rPr>
        <w:tab/>
      </w:r>
      <w:r>
        <w:rPr>
          <w:sz w:val="21"/>
        </w:rPr>
        <w:t>B．水稻种植推广</w:t>
      </w:r>
      <w:r>
        <w:rPr>
          <w:sz w:val="21"/>
        </w:rPr>
        <w:tab/>
      </w:r>
      <w:r>
        <w:rPr>
          <w:sz w:val="21"/>
        </w:rPr>
        <w:t>C．生物医药研发</w:t>
      </w:r>
      <w:r>
        <w:rPr>
          <w:sz w:val="21"/>
        </w:rPr>
        <w:tab/>
      </w:r>
      <w:r>
        <w:rPr>
          <w:color w:val="FF0000"/>
          <w:sz w:val="21"/>
        </w:rPr>
        <w:t>D．交通和能源</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18</w:t>
      </w:r>
      <w:r>
        <w:rPr>
          <w:sz w:val="21"/>
        </w:rPr>
        <w:t>．中巴经济走廊建设（</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sz w:val="21"/>
        </w:rPr>
      </w:pPr>
      <w:r>
        <w:rPr>
          <w:sz w:val="21"/>
        </w:rPr>
        <w:t>A．实现区域间均衡发展，增强竞争力</w:t>
      </w:r>
      <w:r>
        <w:rPr>
          <w:sz w:val="21"/>
        </w:rPr>
        <w:tab/>
      </w:r>
      <w:r>
        <w:rPr>
          <w:sz w:val="21"/>
        </w:rPr>
        <w:t>B．促进中亚各国经济文化一体化发展</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460"/>
        <w:jc w:val="left"/>
        <w:textAlignment w:val="center"/>
        <w:rPr>
          <w:sz w:val="21"/>
        </w:rPr>
      </w:pPr>
      <w:r>
        <w:rPr>
          <w:color w:val="FF0000"/>
          <w:sz w:val="21"/>
        </w:rPr>
        <w:t>C．促进巴基斯坦产业升级，增加就业</w:t>
      </w:r>
      <w:r>
        <w:rPr>
          <w:sz w:val="21"/>
        </w:rPr>
        <w:tab/>
      </w:r>
      <w:r>
        <w:rPr>
          <w:sz w:val="21"/>
        </w:rPr>
        <w:t>D．利于化解巴基斯坦农产品过剩产能</w:t>
      </w:r>
    </w:p>
    <w:p>
      <w:pPr>
        <w:keepNext w:val="0"/>
        <w:keepLines w:val="0"/>
        <w:pageBreakBefore w:val="0"/>
        <w:widowControl w:val="0"/>
        <w:shd w:val="clear" w:color="auto" w:fill="auto"/>
        <w:kinsoku/>
        <w:wordWrap/>
        <w:overflowPunct/>
        <w:topLinePunct w:val="0"/>
        <w:autoSpaceDE/>
        <w:autoSpaceDN/>
        <w:bidi w:val="0"/>
        <w:adjustRightInd/>
        <w:spacing w:line="240" w:lineRule="auto"/>
        <w:ind w:firstLine="420" w:firstLineChars="200"/>
        <w:jc w:val="left"/>
        <w:textAlignment w:val="center"/>
        <w:rPr>
          <w:sz w:val="21"/>
        </w:rPr>
      </w:pPr>
      <w:r>
        <w:rPr>
          <w:rFonts w:ascii="楷体" w:hAnsi="楷体" w:eastAsia="楷体" w:cs="楷体"/>
          <w:sz w:val="21"/>
        </w:rPr>
        <w:t>产业结构生态化是指按照生态经济原理和生态规律，构建高效、和谐的产业结构，使多个生产体系或环节之间实现高效的产出和资源环境的持续利用。下图示意</w:t>
      </w:r>
      <w:r>
        <w:rPr>
          <w:sz w:val="21"/>
        </w:rPr>
        <w:t>2010—2019</w:t>
      </w:r>
      <w:r>
        <w:rPr>
          <w:rFonts w:ascii="楷体" w:hAnsi="楷体" w:eastAsia="楷体" w:cs="楷体"/>
          <w:sz w:val="21"/>
        </w:rPr>
        <w:t>年黄河流域城市产业结构生态化水平的演化，图中四条折线代表上、中、下游及流域平均水平。据此完成下面小题。</w:t>
      </w:r>
    </w:p>
    <w:p>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89530" cy="1331595"/>
            <wp:effectExtent l="0" t="0" r="1270" b="9525"/>
            <wp:docPr id="100073" name="图片 100073" descr="@@@2ce21eed4ba64947b041e6ebba4ea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2ce21eed4ba64947b041e6ebba4eae92"/>
                    <pic:cNvPicPr>
                      <a:picLocks noChangeAspect="1"/>
                    </pic:cNvPicPr>
                  </pic:nvPicPr>
                  <pic:blipFill>
                    <a:blip r:embed="rId13"/>
                    <a:stretch>
                      <a:fillRect/>
                    </a:stretch>
                  </pic:blipFill>
                  <pic:spPr>
                    <a:xfrm>
                      <a:off x="0" y="0"/>
                      <a:ext cx="2589530" cy="1331595"/>
                    </a:xfrm>
                    <a:prstGeom prst="rect">
                      <a:avLst/>
                    </a:prstGeom>
                  </pic:spPr>
                </pic:pic>
              </a:graphicData>
            </a:graphic>
          </wp:inline>
        </w:drawing>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19</w:t>
      </w:r>
      <w:r>
        <w:rPr>
          <w:sz w:val="21"/>
        </w:rPr>
        <w:t>．图中代表黄河流域下游城市产业结构生态化水平的是（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2078"/>
          <w:tab w:val="left" w:pos="4156"/>
          <w:tab w:val="left" w:pos="6234"/>
        </w:tabs>
        <w:kinsoku/>
        <w:wordWrap/>
        <w:overflowPunct/>
        <w:topLinePunct w:val="0"/>
        <w:autoSpaceDE/>
        <w:autoSpaceDN/>
        <w:bidi w:val="0"/>
        <w:adjustRightInd/>
        <w:spacing w:line="240" w:lineRule="auto"/>
        <w:ind w:left="380"/>
        <w:jc w:val="left"/>
        <w:textAlignment w:val="center"/>
        <w:rPr>
          <w:color w:val="FF0000"/>
          <w:sz w:val="21"/>
        </w:rPr>
      </w:pPr>
      <w:r>
        <w:rPr>
          <w:sz w:val="21"/>
        </w:rPr>
        <w:t>A．①</w:t>
      </w:r>
      <w:r>
        <w:rPr>
          <w:sz w:val="21"/>
        </w:rPr>
        <w:tab/>
      </w:r>
      <w:r>
        <w:rPr>
          <w:sz w:val="21"/>
        </w:rPr>
        <w:t>B．②</w:t>
      </w:r>
      <w:r>
        <w:rPr>
          <w:sz w:val="21"/>
        </w:rPr>
        <w:tab/>
      </w:r>
      <w:r>
        <w:rPr>
          <w:sz w:val="21"/>
        </w:rPr>
        <w:t>C．③</w:t>
      </w:r>
      <w:r>
        <w:rPr>
          <w:sz w:val="21"/>
        </w:rPr>
        <w:tab/>
      </w:r>
      <w:r>
        <w:rPr>
          <w:color w:val="FF0000"/>
          <w:sz w:val="21"/>
        </w:rPr>
        <w:t>D．④</w:t>
      </w:r>
    </w:p>
    <w:p>
      <w:pPr>
        <w:keepNext w:val="0"/>
        <w:keepLines w:val="0"/>
        <w:pageBreakBefore w:val="0"/>
        <w:widowControl w:val="0"/>
        <w:shd w:val="clear" w:color="auto" w:fill="auto"/>
        <w:kinsoku/>
        <w:wordWrap/>
        <w:overflowPunct/>
        <w:topLinePunct w:val="0"/>
        <w:autoSpaceDE/>
        <w:autoSpaceDN/>
        <w:bidi w:val="0"/>
        <w:adjustRightInd/>
        <w:spacing w:line="240" w:lineRule="auto"/>
        <w:jc w:val="left"/>
        <w:textAlignment w:val="center"/>
        <w:rPr>
          <w:sz w:val="21"/>
        </w:rPr>
      </w:pPr>
      <w:r>
        <w:rPr>
          <w:rFonts w:hint="eastAsia"/>
          <w:sz w:val="21"/>
          <w:lang w:val="en-US" w:eastAsia="zh-CN"/>
        </w:rPr>
        <w:t>20</w:t>
      </w:r>
      <w:r>
        <w:rPr>
          <w:sz w:val="21"/>
        </w:rPr>
        <w:t>．提高黄河流域城市产业结构生态化水平的可行措施是（</w:t>
      </w:r>
      <w:r>
        <w:rPr>
          <w:rFonts w:ascii="Times New Roman" w:hAnsi="Times New Roman" w:eastAsia="Times New Roman" w:cs="Times New Roman"/>
          <w:kern w:val="0"/>
          <w:sz w:val="24"/>
          <w:szCs w:val="24"/>
        </w:rPr>
        <w:t>   </w:t>
      </w:r>
      <w:r>
        <w:rPr>
          <w:sz w:val="21"/>
        </w:rPr>
        <w:t>）</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color w:val="FF0000"/>
          <w:sz w:val="21"/>
        </w:rPr>
      </w:pPr>
      <w:r>
        <w:rPr>
          <w:sz w:val="21"/>
        </w:rPr>
        <w:t>A．全流域制定统一发展策略</w:t>
      </w:r>
      <w:r>
        <w:rPr>
          <w:sz w:val="21"/>
        </w:rPr>
        <w:tab/>
      </w:r>
      <w:r>
        <w:rPr>
          <w:color w:val="FF0000"/>
          <w:sz w:val="21"/>
        </w:rPr>
        <w:t>B．中游推进能源化工产业绿色发展</w:t>
      </w:r>
    </w:p>
    <w:p>
      <w:pPr>
        <w:keepNext w:val="0"/>
        <w:keepLines w:val="0"/>
        <w:pageBreakBefore w:val="0"/>
        <w:widowControl w:val="0"/>
        <w:shd w:val="clear" w:color="auto" w:fill="auto"/>
        <w:tabs>
          <w:tab w:val="left" w:pos="4156"/>
        </w:tabs>
        <w:kinsoku/>
        <w:wordWrap/>
        <w:overflowPunct/>
        <w:topLinePunct w:val="0"/>
        <w:autoSpaceDE/>
        <w:autoSpaceDN/>
        <w:bidi w:val="0"/>
        <w:adjustRightInd/>
        <w:spacing w:line="240" w:lineRule="auto"/>
        <w:ind w:left="380"/>
        <w:jc w:val="left"/>
        <w:textAlignment w:val="center"/>
        <w:rPr>
          <w:sz w:val="21"/>
        </w:rPr>
      </w:pPr>
      <w:r>
        <w:rPr>
          <w:sz w:val="21"/>
        </w:rPr>
        <w:t>C．上游加大资源的开发力度</w:t>
      </w:r>
      <w:r>
        <w:rPr>
          <w:sz w:val="21"/>
        </w:rPr>
        <w:tab/>
      </w:r>
      <w:r>
        <w:rPr>
          <w:sz w:val="21"/>
        </w:rPr>
        <w:t>D．下游加强水土流失综合治理</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都市圈接合区是指在都市圈发展过程中，不同城市的行政区域交界地带或相邻区域。都市圈接合区易受行政区划边界效应影响，早期发展受到制约，后期逐渐协同。对我国某都市圈接合区土地利用类型的研究表明：早期，行政区划边界效应抑制了耕地流失；后期，随着边界效应减轻，耕地流失加快。下表示意该都市圈接合区不同时期耕地流失状况（单位：</w:t>
      </w:r>
      <w:r>
        <w:rPr>
          <w:rFonts w:ascii="Times New Roman" w:hAnsi="Times New Roman" w:eastAsia="Times New Roman" w:cs="Times New Roman"/>
          <w:color w:val="000000"/>
        </w:rPr>
        <w:t>km2</w:t>
      </w:r>
      <w:r>
        <w:rPr>
          <w:rFonts w:ascii="楷体" w:hAnsi="楷体" w:eastAsia="楷体" w:cs="楷体"/>
          <w:color w:val="000000"/>
        </w:rPr>
        <w:t>）。完成下面小题。</w:t>
      </w:r>
    </w:p>
    <w:tbl>
      <w:tblPr>
        <w:tblStyle w:val="5"/>
        <w:tblW w:w="946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2232"/>
        <w:gridCol w:w="1321"/>
        <w:gridCol w:w="1321"/>
        <w:gridCol w:w="1321"/>
        <w:gridCol w:w="1742"/>
        <w:gridCol w:w="1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15" w:hRule="atLeast"/>
          <w:jc w:val="center"/>
        </w:trPr>
        <w:tc>
          <w:tcPr>
            <w:tcW w:w="2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时期</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rFonts w:ascii="楷体" w:hAnsi="楷体" w:eastAsia="楷体" w:cs="楷体"/>
                <w:color w:val="000000"/>
              </w:rPr>
              <w:t>耕地转森林</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耕地转草地</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耕地转水体</w:t>
            </w:r>
          </w:p>
        </w:tc>
        <w:tc>
          <w:tcPr>
            <w:tcW w:w="17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耕地转建设用地</w:t>
            </w:r>
          </w:p>
        </w:tc>
        <w:tc>
          <w:tcPr>
            <w:tcW w:w="15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耕地转出总量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15" w:hRule="atLeast"/>
          <w:jc w:val="center"/>
        </w:trPr>
        <w:tc>
          <w:tcPr>
            <w:tcW w:w="2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早期（</w:t>
            </w:r>
            <w:r>
              <w:rPr>
                <w:rFonts w:ascii="Times New Roman" w:hAnsi="Times New Roman" w:eastAsia="Times New Roman" w:cs="Times New Roman"/>
                <w:color w:val="000000"/>
              </w:rPr>
              <w:t>2000-2010</w:t>
            </w:r>
            <w:r>
              <w:rPr>
                <w:rFonts w:ascii="楷体" w:hAnsi="楷体" w:eastAsia="楷体" w:cs="楷体"/>
                <w:color w:val="000000"/>
              </w:rPr>
              <w:t>年）</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287.73</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55.86</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70.28</w:t>
            </w:r>
          </w:p>
        </w:tc>
        <w:tc>
          <w:tcPr>
            <w:tcW w:w="17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111.19</w:t>
            </w:r>
          </w:p>
        </w:tc>
        <w:tc>
          <w:tcPr>
            <w:tcW w:w="15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525.06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Ex>
        <w:trPr>
          <w:trHeight w:val="315" w:hRule="atLeast"/>
          <w:jc w:val="center"/>
        </w:trPr>
        <w:tc>
          <w:tcPr>
            <w:tcW w:w="22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楷体" w:hAnsi="楷体" w:eastAsia="楷体" w:cs="楷体"/>
                <w:color w:val="000000"/>
              </w:rPr>
              <w:t>后期（</w:t>
            </w:r>
            <w:r>
              <w:rPr>
                <w:rFonts w:ascii="Times New Roman" w:hAnsi="Times New Roman" w:eastAsia="Times New Roman" w:cs="Times New Roman"/>
                <w:color w:val="000000"/>
              </w:rPr>
              <w:t>2010-2020</w:t>
            </w:r>
            <w:r>
              <w:rPr>
                <w:rFonts w:ascii="楷体" w:hAnsi="楷体" w:eastAsia="楷体" w:cs="楷体"/>
                <w:color w:val="000000"/>
              </w:rPr>
              <w:t>年）</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130.02</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57.90</w:t>
            </w:r>
          </w:p>
        </w:tc>
        <w:tc>
          <w:tcPr>
            <w:tcW w:w="132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112.09</w:t>
            </w:r>
          </w:p>
        </w:tc>
        <w:tc>
          <w:tcPr>
            <w:tcW w:w="174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763.58</w:t>
            </w:r>
          </w:p>
        </w:tc>
        <w:tc>
          <w:tcPr>
            <w:tcW w:w="1532"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ascii="Times New Roman" w:hAnsi="Times New Roman" w:eastAsia="Times New Roman" w:cs="Times New Roman"/>
                <w:color w:val="000000"/>
              </w:rPr>
              <w:t>1063.59</w:t>
            </w:r>
          </w:p>
        </w:tc>
      </w:tr>
    </w:tbl>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21</w:t>
      </w:r>
      <w:r>
        <w:rPr>
          <w:color w:val="000000"/>
        </w:rPr>
        <w:t xml:space="preserve">. </w:t>
      </w:r>
      <w:r>
        <w:rPr>
          <w:rFonts w:ascii="宋体" w:hAnsi="宋体" w:eastAsia="宋体" w:cs="宋体"/>
          <w:color w:val="000000"/>
        </w:rPr>
        <w:t>早期，该都市圈接合区行政区划边界效应抑制了耕地流失，主要因为边界地区（</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color w:val="000000"/>
        </w:rPr>
      </w:pPr>
      <w:r>
        <w:rPr>
          <w:rFonts w:ascii="宋体" w:hAnsi="宋体" w:eastAsia="宋体" w:cs="宋体"/>
          <w:color w:val="000000"/>
        </w:rPr>
        <w:t>①土地利用价值较低②技术落后③人口较少④交通不便</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22</w:t>
      </w:r>
      <w:r>
        <w:rPr>
          <w:color w:val="auto"/>
        </w:rPr>
        <w:t xml:space="preserve">. </w:t>
      </w:r>
      <w:r>
        <w:rPr>
          <w:rFonts w:ascii="宋体" w:hAnsi="宋体" w:eastAsia="宋体" w:cs="宋体"/>
          <w:color w:val="000000"/>
        </w:rPr>
        <w:t>后期，该都市圈接合区行政区划边界效应减轻，耕地流失加快，伴随着（</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color w:val="000000"/>
        </w:rPr>
      </w:pPr>
      <w:r>
        <w:rPr>
          <w:rFonts w:ascii="宋体" w:hAnsi="宋体" w:eastAsia="宋体" w:cs="宋体"/>
          <w:color w:val="000000"/>
        </w:rPr>
        <w:t>①迁出人口大量增加</w:t>
      </w:r>
      <w:r>
        <w:rPr>
          <w:rFonts w:hint="eastAsia" w:ascii="宋体" w:hAnsi="宋体" w:eastAsia="宋体" w:cs="宋体"/>
          <w:color w:val="000000"/>
          <w:lang w:val="en-US" w:eastAsia="zh-CN"/>
        </w:rPr>
        <w:t xml:space="preserve">           </w:t>
      </w:r>
      <w:r>
        <w:rPr>
          <w:rFonts w:ascii="宋体" w:hAnsi="宋体" w:eastAsia="宋体" w:cs="宋体"/>
          <w:color w:val="000000"/>
        </w:rPr>
        <w:t>②聚落行政等级提升</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color w:val="000000"/>
        </w:rPr>
      </w:pPr>
      <w:r>
        <w:rPr>
          <w:rFonts w:ascii="宋体" w:hAnsi="宋体" w:eastAsia="宋体" w:cs="宋体"/>
          <w:color w:val="000000"/>
        </w:rPr>
        <w:t>③农业从业人员平均年龄上升</w:t>
      </w:r>
      <w:r>
        <w:rPr>
          <w:rFonts w:hint="eastAsia" w:ascii="宋体" w:hAnsi="宋体" w:eastAsia="宋体" w:cs="宋体"/>
          <w:color w:val="000000"/>
          <w:lang w:val="en-US" w:eastAsia="zh-CN"/>
        </w:rPr>
        <w:t xml:space="preserve">   </w:t>
      </w:r>
      <w:r>
        <w:rPr>
          <w:rFonts w:ascii="宋体" w:hAnsi="宋体" w:eastAsia="宋体" w:cs="宋体"/>
          <w:color w:val="000000"/>
        </w:rPr>
        <w:t>④乡镇中小型工业企业发展</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③④</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23</w:t>
      </w:r>
      <w:r>
        <w:rPr>
          <w:color w:val="000000"/>
        </w:rPr>
        <w:t xml:space="preserve">. </w:t>
      </w:r>
      <w:r>
        <w:rPr>
          <w:rFonts w:ascii="宋体" w:hAnsi="宋体" w:eastAsia="宋体" w:cs="宋体"/>
          <w:color w:val="000000"/>
        </w:rPr>
        <w:t>推测该都市圈接合区最有可能位于（</w:t>
      </w:r>
      <w:r>
        <w:rPr>
          <w:rFonts w:ascii="Times New Roman" w:hAnsi="Times New Roman" w:eastAsia="Times New Roman" w:cs="Times New Roman"/>
          <w:color w:val="000000"/>
        </w:rPr>
        <w:t xml:space="preserve">   </w:t>
      </w:r>
      <w:r>
        <w:rPr>
          <w:rFonts w:ascii="宋体" w:hAnsi="宋体" w:eastAsia="宋体" w:cs="宋体"/>
          <w:color w:val="000000"/>
        </w:rPr>
        <w:t>）</w:t>
      </w:r>
    </w:p>
    <w:p>
      <w:pPr>
        <w:keepNext w:val="0"/>
        <w:keepLines w:val="0"/>
        <w:pageBreakBefore w:val="0"/>
        <w:widowControl w:val="0"/>
        <w:tabs>
          <w:tab w:val="left" w:pos="2436"/>
          <w:tab w:val="left" w:pos="4873"/>
          <w:tab w:val="left" w:pos="7309"/>
        </w:tabs>
        <w:kinsoku/>
        <w:wordWrap/>
        <w:overflowPunct/>
        <w:topLinePunct w:val="0"/>
        <w:autoSpaceDE/>
        <w:autoSpaceDN/>
        <w:bidi w:val="0"/>
        <w:adjustRightInd/>
        <w:snapToGrid/>
        <w:spacing w:line="240" w:lineRule="auto"/>
        <w:ind w:firstLine="210" w:firstLineChars="100"/>
        <w:jc w:val="left"/>
        <w:textAlignment w:val="center"/>
        <w:rPr>
          <w:color w:val="000000"/>
        </w:rPr>
      </w:pPr>
      <w:r>
        <w:rPr>
          <w:color w:val="000000"/>
        </w:rPr>
        <w:t xml:space="preserve">A. </w:t>
      </w:r>
      <w:r>
        <w:rPr>
          <w:rFonts w:ascii="宋体" w:hAnsi="宋体" w:eastAsia="宋体" w:cs="宋体"/>
          <w:color w:val="000000"/>
        </w:rPr>
        <w:t>成渝都市圈</w:t>
      </w:r>
      <w:r>
        <w:rPr>
          <w:color w:val="000000"/>
        </w:rPr>
        <w:tab/>
      </w:r>
      <w:r>
        <w:rPr>
          <w:color w:val="000000"/>
        </w:rPr>
        <w:t xml:space="preserve">B. </w:t>
      </w:r>
      <w:r>
        <w:rPr>
          <w:rFonts w:ascii="宋体" w:hAnsi="宋体" w:eastAsia="宋体" w:cs="宋体"/>
          <w:color w:val="000000"/>
        </w:rPr>
        <w:t>长三角城市群</w:t>
      </w:r>
      <w:r>
        <w:rPr>
          <w:color w:val="000000"/>
        </w:rPr>
        <w:tab/>
      </w:r>
      <w:r>
        <w:rPr>
          <w:color w:val="000000"/>
        </w:rPr>
        <w:t xml:space="preserve">C. </w:t>
      </w:r>
      <w:r>
        <w:rPr>
          <w:rFonts w:ascii="宋体" w:hAnsi="宋体" w:eastAsia="宋体" w:cs="宋体"/>
          <w:color w:val="000000"/>
        </w:rPr>
        <w:t>天山北坡经济带</w:t>
      </w:r>
      <w:r>
        <w:rPr>
          <w:color w:val="000000"/>
        </w:rPr>
        <w:tab/>
      </w:r>
      <w:r>
        <w:rPr>
          <w:color w:val="000000"/>
        </w:rPr>
        <w:t xml:space="preserve">D. </w:t>
      </w:r>
      <w:r>
        <w:rPr>
          <w:rFonts w:ascii="宋体" w:hAnsi="宋体" w:eastAsia="宋体" w:cs="宋体"/>
          <w:color w:val="000000"/>
        </w:rPr>
        <w:t>粤港澳大湾区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rFonts w:hint="eastAsia" w:ascii="黑体" w:hAnsi="黑体" w:eastAsia="黑体" w:cs="黑体"/>
          <w:b/>
          <w:bCs/>
          <w:color w:val="000000"/>
          <w:lang w:val="en-US" w:eastAsia="zh-CN"/>
        </w:rPr>
      </w:pPr>
      <w:r>
        <w:rPr>
          <w:rFonts w:hint="eastAsia" w:ascii="黑体" w:hAnsi="黑体" w:eastAsia="黑体" w:cs="黑体"/>
          <w:b/>
          <w:bCs/>
          <w:color w:val="000000"/>
          <w:lang w:val="en-US" w:eastAsia="zh-CN"/>
        </w:rPr>
        <w:t>二、综合题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color w:val="000000"/>
        </w:rPr>
      </w:pPr>
      <w:r>
        <w:rPr>
          <w:rFonts w:hint="eastAsia"/>
          <w:color w:val="000000"/>
          <w:lang w:val="en-US" w:eastAsia="zh-CN"/>
        </w:rPr>
        <w:t>24</w:t>
      </w:r>
      <w:r>
        <w:rPr>
          <w:color w:val="000000"/>
        </w:rPr>
        <w:t xml:space="preserve">. </w:t>
      </w:r>
      <w:r>
        <w:rPr>
          <w:rFonts w:ascii="宋体" w:hAnsi="宋体" w:eastAsia="宋体" w:cs="宋体"/>
          <w:color w:val="000000"/>
        </w:rPr>
        <w:t>阅读材料，回答下列问题。</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2024</w:t>
      </w:r>
      <w:r>
        <w:rPr>
          <w:rFonts w:ascii="楷体" w:hAnsi="楷体" w:eastAsia="楷体" w:cs="楷体"/>
          <w:color w:val="000000"/>
        </w:rPr>
        <w:t>年</w:t>
      </w:r>
      <w:r>
        <w:rPr>
          <w:rFonts w:ascii="Times New Roman" w:hAnsi="Times New Roman" w:eastAsia="Times New Roman" w:cs="Times New Roman"/>
          <w:color w:val="000000"/>
        </w:rPr>
        <w:t>6</w:t>
      </w:r>
      <w:r>
        <w:rPr>
          <w:rFonts w:ascii="楷体" w:hAnsi="楷体" w:eastAsia="楷体" w:cs="楷体"/>
          <w:color w:val="000000"/>
        </w:rPr>
        <w:t>月</w:t>
      </w:r>
      <w:r>
        <w:rPr>
          <w:rFonts w:ascii="Times New Roman" w:hAnsi="Times New Roman" w:eastAsia="Times New Roman" w:cs="Times New Roman"/>
          <w:color w:val="000000"/>
        </w:rPr>
        <w:t>14</w:t>
      </w:r>
      <w:r>
        <w:rPr>
          <w:rFonts w:ascii="楷体" w:hAnsi="楷体" w:eastAsia="楷体" w:cs="楷体"/>
          <w:color w:val="000000"/>
        </w:rPr>
        <w:t>日，福建省人民政府颁布了《厦漳泉都市圈发展规划》。厦漳泉都市圈包含厦门、漳州、泉州三个设区市除华安县、永春县、德化县以外的区域，属闽南文化圈，对台联系紧密。陆城占全省的</w:t>
      </w:r>
      <w:r>
        <w:rPr>
          <w:rFonts w:ascii="Times New Roman" w:hAnsi="Times New Roman" w:eastAsia="Times New Roman" w:cs="Times New Roman"/>
          <w:color w:val="000000"/>
        </w:rPr>
        <w:t>16%</w:t>
      </w:r>
      <w:r>
        <w:rPr>
          <w:rFonts w:ascii="楷体" w:hAnsi="楷体" w:eastAsia="楷体" w:cs="楷体"/>
          <w:color w:val="000000"/>
        </w:rPr>
        <w:t>，人口占全省的</w:t>
      </w:r>
      <w:r>
        <w:rPr>
          <w:rFonts w:ascii="Times New Roman" w:hAnsi="Times New Roman" w:eastAsia="Times New Roman" w:cs="Times New Roman"/>
          <w:color w:val="000000"/>
        </w:rPr>
        <w:t>44%</w:t>
      </w:r>
      <w:r>
        <w:rPr>
          <w:rFonts w:ascii="楷体" w:hAnsi="楷体" w:eastAsia="楷体" w:cs="楷体"/>
          <w:color w:val="000000"/>
        </w:rPr>
        <w:t>，</w:t>
      </w:r>
      <w:r>
        <w:rPr>
          <w:rFonts w:ascii="Times New Roman" w:hAnsi="Times New Roman" w:eastAsia="Times New Roman" w:cs="Times New Roman"/>
          <w:color w:val="000000"/>
        </w:rPr>
        <w:t>GDP</w:t>
      </w:r>
      <w:r>
        <w:rPr>
          <w:rFonts w:ascii="楷体" w:hAnsi="楷体" w:eastAsia="楷体" w:cs="楷体"/>
          <w:color w:val="000000"/>
        </w:rPr>
        <w:t>占全省</w:t>
      </w:r>
      <w:r>
        <w:rPr>
          <w:rFonts w:ascii="Times New Roman" w:hAnsi="Times New Roman" w:eastAsia="Times New Roman" w:cs="Times New Roman"/>
          <w:color w:val="000000"/>
        </w:rPr>
        <w:t>49%</w:t>
      </w:r>
      <w:r>
        <w:rPr>
          <w:rFonts w:ascii="楷体" w:hAnsi="楷体" w:eastAsia="楷体" w:cs="楷体"/>
          <w:color w:val="000000"/>
        </w:rPr>
        <w:t>。海岸线曲折漫长，多为基岩海岸，占全省海岸线的</w:t>
      </w:r>
      <w:r>
        <w:rPr>
          <w:rFonts w:ascii="Times New Roman" w:hAnsi="Times New Roman" w:eastAsia="Times New Roman" w:cs="Times New Roman"/>
          <w:color w:val="000000"/>
        </w:rPr>
        <w:t>34%</w:t>
      </w:r>
      <w:r>
        <w:rPr>
          <w:rFonts w:ascii="楷体" w:hAnsi="楷体" w:eastAsia="楷体" w:cs="楷体"/>
          <w:color w:val="000000"/>
        </w:rPr>
        <w:t>。下图示意</w:t>
      </w:r>
      <w:r>
        <w:rPr>
          <w:rFonts w:ascii="Times New Roman" w:hAnsi="Times New Roman" w:eastAsia="Times New Roman" w:cs="Times New Roman"/>
          <w:color w:val="000000"/>
        </w:rPr>
        <w:t>“</w:t>
      </w:r>
      <w:r>
        <w:rPr>
          <w:rFonts w:ascii="楷体" w:hAnsi="楷体" w:eastAsia="楷体" w:cs="楷体"/>
          <w:color w:val="000000"/>
        </w:rPr>
        <w:t>福建省地形与主要水系</w:t>
      </w:r>
      <w:r>
        <w:rPr>
          <w:rFonts w:ascii="Times New Roman" w:hAnsi="Times New Roman" w:eastAsia="Times New Roman" w:cs="Times New Roman"/>
          <w:color w:val="000000"/>
        </w:rPr>
        <w:t>”</w:t>
      </w:r>
      <w:r>
        <w:rPr>
          <w:rFonts w:ascii="楷体" w:hAnsi="楷体" w:eastAsia="楷体" w:cs="楷体"/>
          <w:color w:val="000000"/>
        </w:rPr>
        <w:t>和</w:t>
      </w:r>
      <w:r>
        <w:rPr>
          <w:rFonts w:ascii="Times New Roman" w:hAnsi="Times New Roman" w:eastAsia="Times New Roman" w:cs="Times New Roman"/>
          <w:color w:val="000000"/>
        </w:rPr>
        <w:t>“</w:t>
      </w:r>
      <w:r>
        <w:rPr>
          <w:rFonts w:ascii="楷体" w:hAnsi="楷体" w:eastAsia="楷体" w:cs="楷体"/>
          <w:color w:val="000000"/>
        </w:rPr>
        <w:t>厦漳泉都市圈范围及交通状况</w:t>
      </w:r>
      <w:r>
        <w:rPr>
          <w:rFonts w:ascii="Times New Roman" w:hAnsi="Times New Roman" w:eastAsia="Times New Roman" w:cs="Times New Roman"/>
          <w:color w:val="000000"/>
        </w:rPr>
        <w:t>”</w:t>
      </w:r>
      <w:r>
        <w:rPr>
          <w:rFonts w:ascii="楷体" w:hAnsi="楷体" w:eastAsia="楷体" w:cs="楷体"/>
          <w:color w:val="000000"/>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4008755" cy="1852295"/>
            <wp:effectExtent l="0" t="0" r="14605" b="6985"/>
            <wp:docPr id="2" name="图片 2" descr="学科网(www.zxxk.com)--教育资源门户，提供试卷、教案、课件、论文、素材以及各类教学资源下载，还有大量而丰富的教学相关资讯！ B0chYAqJCof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B0chYAqJCofNAx1ODbqMbQ=="/>
                    <pic:cNvPicPr>
                      <a:picLocks noChangeAspect="1"/>
                    </pic:cNvPicPr>
                  </pic:nvPicPr>
                  <pic:blipFill>
                    <a:blip r:embed="rId14"/>
                    <a:stretch>
                      <a:fillRect/>
                    </a:stretch>
                  </pic:blipFill>
                  <pic:spPr>
                    <a:xfrm>
                      <a:off x="0" y="0"/>
                      <a:ext cx="4008755" cy="18522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材料二下表为厦门、漳州、泉州部分经济数据统计表。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drawing>
          <wp:inline distT="0" distB="0" distL="114300" distR="114300">
            <wp:extent cx="4216400" cy="1784350"/>
            <wp:effectExtent l="0" t="0" r="5080"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rcRect r="17513" b="6244"/>
                    <a:stretch>
                      <a:fillRect/>
                    </a:stretch>
                  </pic:blipFill>
                  <pic:spPr>
                    <a:xfrm>
                      <a:off x="0" y="0"/>
                      <a:ext cx="4216400" cy="1784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评价厦漳泉都市圈港口的水域条件。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color w:val="000000"/>
        </w:rPr>
      </w:pPr>
      <w:r>
        <w:rPr>
          <w:rFonts w:hint="eastAsia" w:ascii="隶书" w:hAnsi="隶书" w:eastAsia="隶书" w:cs="隶书"/>
          <w:color w:val="auto"/>
        </w:rPr>
        <w:t>海岸线曲折漫长，多海湾，海域风浪小；多基岩海岸，海域淤积少，海域水较深；纬度低，海域终年不冻；夏秋季多台风，海面多风暴潮。</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从省内自然地理特征角度，分析厦漳泉都市圈港口经济腹地小的原因。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rFonts w:hint="default" w:eastAsia="隶书"/>
          <w:color w:val="000000"/>
          <w:lang w:val="en-US" w:eastAsia="zh-CN"/>
        </w:rPr>
      </w:pPr>
      <w:r>
        <w:rPr>
          <w:rFonts w:hint="eastAsia" w:ascii="隶书" w:hAnsi="隶书" w:eastAsia="隶书" w:cs="隶书"/>
          <w:color w:val="auto"/>
        </w:rPr>
        <w:t xml:space="preserve">省内河流短小流急，河流航运价值低；多山地，陆路交通线建造难度大，中西部交通线密度小；西部武夷山阻挡，对外运输不便；福建省中西部货物运输需求量小；福建省港口众多，竞争激烈。  </w:t>
      </w:r>
      <w:r>
        <w:rPr>
          <w:rFonts w:hint="eastAsia" w:ascii="隶书" w:hAnsi="隶书" w:eastAsia="隶书" w:cs="隶书"/>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指出厦漳泉三地实现区域协调发展的条件。</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center"/>
        <w:rPr>
          <w:color w:val="000000"/>
        </w:rPr>
      </w:pPr>
      <w:r>
        <w:rPr>
          <w:rFonts w:hint="eastAsia" w:ascii="隶书" w:hAnsi="隶书" w:eastAsia="隶书" w:cs="隶书"/>
          <w:color w:val="auto"/>
        </w:rPr>
        <w:t xml:space="preserve">三地地理位置相邻，有相似的文化背景；三地之间已形成较为完善的交通运输体系；三地产业互补性较强；经济综合实力强。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提出能够深化厦漳泉三地融合，增强都市圈辐射能力的合理化措施。</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center"/>
        <w:rPr>
          <w:rFonts w:hint="eastAsia" w:ascii="隶书" w:hAnsi="隶书" w:eastAsia="隶书" w:cs="隶书"/>
          <w:color w:val="auto"/>
        </w:rPr>
      </w:pPr>
      <w:r>
        <w:rPr>
          <w:rFonts w:hint="eastAsia" w:ascii="隶书" w:hAnsi="隶书" w:eastAsia="隶书" w:cs="隶书"/>
          <w:color w:val="auto"/>
        </w:rPr>
        <w:t>提升三城的核心功能；培育中小城市，优化城市体系；推进三地的产业升级/产业转移；促进分工协作，避免恶性竞争；加快基础设施建设，增强互联互通水平；利用地缘和文化优势，积极开展对台贸易。</w:t>
      </w:r>
    </w:p>
    <w:p>
      <w:pPr>
        <w:keepNext w:val="0"/>
        <w:keepLines w:val="0"/>
        <w:pageBreakBefore w:val="0"/>
        <w:widowControl w:val="0"/>
        <w:kinsoku/>
        <w:wordWrap/>
        <w:overflowPunct/>
        <w:topLinePunct w:val="0"/>
        <w:autoSpaceDE/>
        <w:autoSpaceDN/>
        <w:bidi w:val="0"/>
        <w:adjustRightInd/>
        <w:spacing w:line="240" w:lineRule="auto"/>
        <w:rPr>
          <w:rFonts w:ascii="汉仪书宋二简" w:hAnsi="汉仪书宋二简" w:eastAsia="汉仪书宋二简" w:cs="汉仪书宋二简"/>
          <w:lang w:val="en-US"/>
        </w:rPr>
      </w:pPr>
    </w:p>
    <w:p>
      <w:pPr>
        <w:keepNext w:val="0"/>
        <w:keepLines w:val="0"/>
        <w:pageBreakBefore w:val="0"/>
        <w:widowControl w:val="0"/>
        <w:numPr>
          <w:ilvl w:val="0"/>
          <w:numId w:val="0"/>
        </w:numPr>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eastAsia="zh-CN"/>
        </w:rPr>
        <w:t>25.</w:t>
      </w:r>
      <w:r>
        <w:rPr>
          <w:rFonts w:hint="eastAsia" w:asciiTheme="minorEastAsia" w:hAnsiTheme="minorEastAsia" w:eastAsiaTheme="minorEastAsia" w:cstheme="minorEastAsia"/>
          <w:lang w:val="en-US"/>
        </w:rPr>
        <w:t>阅读材料，回答下列问题。</w:t>
      </w:r>
    </w:p>
    <w:p>
      <w:pPr>
        <w:keepNext w:val="0"/>
        <w:keepLines w:val="0"/>
        <w:pageBreakBefore w:val="0"/>
        <w:widowControl w:val="0"/>
        <w:kinsoku/>
        <w:wordWrap/>
        <w:overflowPunct/>
        <w:topLinePunct w:val="0"/>
        <w:autoSpaceDE/>
        <w:autoSpaceDN/>
        <w:bidi w:val="0"/>
        <w:adjustRightInd/>
        <w:spacing w:line="240" w:lineRule="auto"/>
        <w:ind w:firstLine="422" w:firstLineChars="200"/>
        <w:rPr>
          <w:rFonts w:ascii="楷体" w:hAnsi="楷体" w:eastAsia="楷体" w:cs="汉仪书宋二简"/>
          <w:lang w:val="en-US"/>
        </w:rPr>
      </w:pPr>
      <w:r>
        <w:rPr>
          <w:rFonts w:ascii="楷体" w:hAnsi="楷体" w:eastAsia="楷体" w:cs="汉仪书宋二简"/>
          <w:b/>
          <w:bCs/>
          <w:lang w:val="en-US"/>
        </w:rPr>
        <w:t>材料一</w:t>
      </w:r>
      <w:r>
        <w:rPr>
          <w:rFonts w:ascii="楷体" w:hAnsi="楷体" w:eastAsia="楷体" w:cs="汉仪书宋二简"/>
          <w:lang w:val="en-US"/>
        </w:rPr>
        <w:t xml:space="preserve">  江苏、安徽两省因区域内部差异，通常分为北、中、南三区域。下图为“江苏、安徽两省略图”。</w:t>
      </w:r>
    </w:p>
    <w:p>
      <w:pPr>
        <w:keepNext w:val="0"/>
        <w:keepLines w:val="0"/>
        <w:pageBreakBefore w:val="0"/>
        <w:widowControl w:val="0"/>
        <w:kinsoku/>
        <w:wordWrap/>
        <w:overflowPunct/>
        <w:topLinePunct w:val="0"/>
        <w:autoSpaceDE/>
        <w:autoSpaceDN/>
        <w:bidi w:val="0"/>
        <w:adjustRightInd/>
        <w:spacing w:line="240" w:lineRule="auto"/>
        <w:ind w:firstLine="422" w:firstLineChars="200"/>
        <w:rPr>
          <w:rFonts w:ascii="楷体" w:hAnsi="楷体" w:eastAsia="楷体" w:cs="汉仪书宋二简"/>
          <w:lang w:val="en-US"/>
        </w:rPr>
      </w:pPr>
      <w:r>
        <w:rPr>
          <w:rFonts w:ascii="楷体" w:hAnsi="楷体" w:eastAsia="楷体" w:cs="汉仪书宋二简"/>
          <w:b/>
          <w:bCs/>
          <w:lang w:val="en-US"/>
        </w:rPr>
        <w:t>材料二</w:t>
      </w:r>
      <w:r>
        <w:rPr>
          <w:rFonts w:ascii="楷体" w:hAnsi="楷体" w:eastAsia="楷体" w:cs="汉仪书宋二简"/>
          <w:lang w:val="en-US"/>
        </w:rPr>
        <w:t xml:space="preserve">  为加强南北联系，安徽修建引江济淮工程，于</w:t>
      </w:r>
      <w:r>
        <w:rPr>
          <w:rFonts w:ascii="汉仪书宋二简" w:hAnsi="汉仪书宋二简" w:eastAsia="汉仪书宋二简" w:cs="汉仪书宋二简"/>
          <w:lang w:val="en-US"/>
        </w:rPr>
        <w:t>2023</w:t>
      </w:r>
      <w:r>
        <w:rPr>
          <w:rFonts w:ascii="楷体" w:hAnsi="楷体" w:eastAsia="楷体" w:cs="汉仪书宋二简"/>
          <w:lang w:val="en-US"/>
        </w:rPr>
        <w:t>年建成通水通航。</w:t>
      </w:r>
    </w:p>
    <w:p>
      <w:pPr>
        <w:keepNext w:val="0"/>
        <w:keepLines w:val="0"/>
        <w:pageBreakBefore w:val="0"/>
        <w:widowControl w:val="0"/>
        <w:kinsoku/>
        <w:wordWrap/>
        <w:overflowPunct/>
        <w:topLinePunct w:val="0"/>
        <w:autoSpaceDE/>
        <w:autoSpaceDN/>
        <w:bidi w:val="0"/>
        <w:adjustRightInd/>
        <w:spacing w:line="240" w:lineRule="auto"/>
        <w:ind w:firstLine="422" w:firstLineChars="200"/>
        <w:rPr>
          <w:rFonts w:ascii="汉仪书宋二简" w:hAnsi="汉仪书宋二简" w:eastAsia="汉仪书宋二简" w:cs="汉仪书宋二简"/>
          <w:lang w:val="en-US"/>
        </w:rPr>
      </w:pPr>
      <w:r>
        <w:rPr>
          <w:rFonts w:ascii="楷体" w:hAnsi="楷体" w:eastAsia="楷体" w:cs="汉仪书宋二简"/>
          <w:b/>
          <w:bCs/>
          <w:lang w:val="en-US"/>
        </w:rPr>
        <w:t>材料三</w:t>
      </w:r>
      <w:r>
        <w:rPr>
          <w:rFonts w:ascii="楷体" w:hAnsi="楷体" w:eastAsia="楷体" w:cs="汉仪书宋二简"/>
          <w:lang w:val="en-US"/>
        </w:rPr>
        <w:t xml:space="preserve">  都市圈是以特大或大城市为中心，以一定距离为基本范围的城镇化空间形态。</w:t>
      </w:r>
      <w:r>
        <w:rPr>
          <w:rFonts w:ascii="汉仪书宋二简" w:hAnsi="汉仪书宋二简" w:eastAsia="汉仪书宋二简" w:cs="汉仪书宋二简"/>
          <w:lang w:val="en-US"/>
        </w:rPr>
        <w:t>2019</w:t>
      </w:r>
      <w:r>
        <w:rPr>
          <w:rFonts w:ascii="楷体" w:hAnsi="楷体" w:eastAsia="楷体" w:cs="汉仪书宋二简"/>
          <w:lang w:val="en-US"/>
        </w:rPr>
        <w:t>年，国家印发《长江三角洲区域一体化发展规划纲要》，提出加快都市圈建设。</w:t>
      </w:r>
    </w:p>
    <w:p>
      <w:pPr>
        <w:keepNext w:val="0"/>
        <w:keepLines w:val="0"/>
        <w:pageBreakBefore w:val="0"/>
        <w:widowControl w:val="0"/>
        <w:kinsoku/>
        <w:wordWrap/>
        <w:overflowPunct/>
        <w:topLinePunct w:val="0"/>
        <w:autoSpaceDE/>
        <w:autoSpaceDN/>
        <w:bidi w:val="0"/>
        <w:adjustRightInd/>
        <w:spacing w:line="240" w:lineRule="auto"/>
        <w:jc w:val="center"/>
        <w:rPr>
          <w:rFonts w:ascii="汉仪书宋二简" w:hAnsi="汉仪书宋二简" w:eastAsia="汉仪书宋二简" w:cs="汉仪书宋二简"/>
          <w:lang w:val="en-US"/>
        </w:rPr>
      </w:pPr>
      <w:r>
        <w:drawing>
          <wp:inline distT="0" distB="0" distL="114300" distR="114300">
            <wp:extent cx="2849245" cy="1943735"/>
            <wp:effectExtent l="0" t="0" r="0" b="0"/>
            <wp:docPr id="1043" name="Image1"/>
            <wp:cNvGraphicFramePr/>
            <a:graphic xmlns:a="http://schemas.openxmlformats.org/drawingml/2006/main">
              <a:graphicData uri="http://schemas.openxmlformats.org/drawingml/2006/picture">
                <pic:pic xmlns:pic="http://schemas.openxmlformats.org/drawingml/2006/picture">
                  <pic:nvPicPr>
                    <pic:cNvPr id="1043" name="Image1"/>
                    <pic:cNvPicPr/>
                  </pic:nvPicPr>
                  <pic:blipFill>
                    <a:blip r:embed="rId16" cstate="print"/>
                    <a:stretch>
                      <a:fillRect/>
                    </a:stretch>
                  </pic:blipFill>
                  <pic:spPr>
                    <a:xfrm>
                      <a:off x="0" y="0"/>
                      <a:ext cx="2849326" cy="194436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rPr>
        <w:t>（1）写出将安徽划分为北、中、南三区域参考自然界线。</w:t>
      </w:r>
    </w:p>
    <w:p>
      <w:pPr>
        <w:rPr>
          <w:rFonts w:hint="eastAsia" w:ascii="隶书" w:hAnsi="隶书" w:eastAsia="隶书" w:cs="隶书"/>
          <w:lang w:val="en-US" w:eastAsia="zh-CN"/>
        </w:rPr>
      </w:pPr>
      <w:r>
        <w:rPr>
          <w:rFonts w:hint="eastAsia" w:ascii="隶书" w:hAnsi="隶书" w:eastAsia="隶书" w:cs="隶书"/>
          <w:lang w:val="en-US" w:eastAsia="zh-CN"/>
        </w:rPr>
        <w:t xml:space="preserve">     淮河；长江；（4分）</w:t>
      </w: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rPr>
        <w:t>（2）与安徽相比，从图示信息归纳江苏区域内部差异较小的主要条件。</w:t>
      </w:r>
    </w:p>
    <w:p>
      <w:pPr>
        <w:ind w:firstLine="630" w:firstLineChars="300"/>
        <w:rPr>
          <w:rFonts w:hint="eastAsia" w:ascii="隶书" w:hAnsi="隶书" w:eastAsia="隶书" w:cs="隶书"/>
          <w:lang w:val="en-US" w:eastAsia="zh-CN"/>
        </w:rPr>
      </w:pPr>
      <w:r>
        <w:rPr>
          <w:rFonts w:hint="eastAsia" w:ascii="隶书" w:hAnsi="隶书" w:eastAsia="隶书" w:cs="隶书"/>
          <w:lang w:val="en-US" w:eastAsia="zh-CN"/>
        </w:rPr>
        <w:t>江苏位置临海；地形整体较为平坦；京杭运河贯通南北；（任选两点得4分）</w:t>
      </w: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rPr>
        <w:t>（3）从引江济淮三段工程的命名，分别解读“济巢”、“沟通”、“北送”所指的功能。</w:t>
      </w:r>
    </w:p>
    <w:p>
      <w:pPr>
        <w:rPr>
          <w:rFonts w:hint="eastAsia" w:ascii="隶书" w:hAnsi="隶书" w:eastAsia="隶书" w:cs="隶书"/>
          <w:lang w:val="en-US" w:eastAsia="zh-CN"/>
        </w:rPr>
      </w:pPr>
      <w:r>
        <w:rPr>
          <w:rFonts w:hint="eastAsia" w:ascii="隶书" w:hAnsi="隶书" w:eastAsia="隶书" w:cs="隶书"/>
          <w:lang w:val="en-US" w:eastAsia="zh-CN"/>
        </w:rPr>
        <w:t xml:space="preserve">    “济巢”:生态功能（补充水量、改善水质）</w:t>
      </w:r>
    </w:p>
    <w:p>
      <w:pPr>
        <w:ind w:firstLine="420" w:firstLineChars="200"/>
        <w:rPr>
          <w:rFonts w:hint="eastAsia" w:ascii="隶书" w:hAnsi="隶书" w:eastAsia="隶书" w:cs="隶书"/>
          <w:lang w:val="en-US" w:eastAsia="zh-CN"/>
        </w:rPr>
      </w:pPr>
      <w:r>
        <w:rPr>
          <w:rFonts w:hint="eastAsia" w:ascii="隶书" w:hAnsi="隶书" w:eastAsia="隶书" w:cs="隶书"/>
          <w:lang w:val="en-US" w:eastAsia="zh-CN"/>
        </w:rPr>
        <w:t>“沟通”：航运功能（水运、航运、船舶运输、江淮联运）</w:t>
      </w:r>
    </w:p>
    <w:p>
      <w:pPr>
        <w:ind w:firstLine="420" w:firstLineChars="200"/>
        <w:rPr>
          <w:rFonts w:hint="eastAsia" w:ascii="隶书" w:hAnsi="隶书" w:eastAsia="隶书" w:cs="隶书"/>
          <w:lang w:val="en-US" w:eastAsia="zh-CN"/>
        </w:rPr>
      </w:pPr>
      <w:r>
        <w:rPr>
          <w:rFonts w:hint="eastAsia" w:ascii="隶书" w:hAnsi="隶书" w:eastAsia="隶书" w:cs="隶书"/>
          <w:lang w:val="en-US" w:eastAsia="zh-CN"/>
        </w:rPr>
        <w:t>“北送”供水功能（城乡用水、灌溉）（每个方向两分，共6分）</w:t>
      </w: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r>
        <w:rPr>
          <w:rFonts w:hint="eastAsia" w:asciiTheme="minorEastAsia" w:hAnsiTheme="minorEastAsia" w:eastAsiaTheme="minorEastAsia" w:cstheme="minorEastAsia"/>
          <w:lang w:val="en-US"/>
        </w:rPr>
        <w:t>（4）概述建设跨省的都市圈对江苏和安徽协同发展的作用。</w:t>
      </w:r>
    </w:p>
    <w:p>
      <w:pPr>
        <w:ind w:firstLine="420" w:firstLineChars="200"/>
        <w:rPr>
          <w:rFonts w:hint="eastAsia" w:ascii="隶书" w:hAnsi="隶书" w:eastAsia="隶书" w:cs="隶书"/>
          <w:lang w:val="en-US" w:eastAsia="zh-CN"/>
        </w:rPr>
      </w:pPr>
      <w:r>
        <w:rPr>
          <w:rFonts w:hint="eastAsia" w:ascii="隶书" w:hAnsi="隶书" w:eastAsia="隶书" w:cs="隶书"/>
          <w:lang w:val="en-US" w:eastAsia="zh-CN"/>
        </w:rPr>
        <w:t>基础设施互联互通；公共服务共享；产业分工协作；生态环境协同治理；（任选三点得6分）</w:t>
      </w:r>
    </w:p>
    <w:p>
      <w:pPr>
        <w:keepNext w:val="0"/>
        <w:keepLines w:val="0"/>
        <w:pageBreakBefore w:val="0"/>
        <w:widowControl w:val="0"/>
        <w:kinsoku/>
        <w:wordWrap/>
        <w:overflowPunct/>
        <w:topLinePunct w:val="0"/>
        <w:autoSpaceDE/>
        <w:autoSpaceDN/>
        <w:bidi w:val="0"/>
        <w:adjustRightInd/>
        <w:spacing w:line="240" w:lineRule="auto"/>
        <w:rPr>
          <w:rFonts w:hint="eastAsia" w:asciiTheme="minorEastAsia" w:hAnsiTheme="minorEastAsia" w:eastAsiaTheme="minorEastAsia" w:cstheme="minorEastAsia"/>
          <w:lang w:val="en-US"/>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hint="eastAsia"/>
          <w:color w:val="000000"/>
          <w:lang w:val="en-US" w:eastAsia="zh-CN"/>
        </w:rPr>
        <w:t>6.</w:t>
      </w:r>
      <w:r>
        <w:rPr>
          <w:color w:val="000000"/>
        </w:rPr>
        <w:t xml:space="preserve"> </w:t>
      </w:r>
      <w:r>
        <w:rPr>
          <w:rFonts w:ascii="宋体" w:hAnsi="宋体" w:eastAsia="宋体" w:cs="宋体"/>
          <w:color w:val="000000"/>
        </w:rPr>
        <w:t>阅读图文材料，完成下列问题。</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center"/>
        <w:rPr>
          <w:color w:val="000000"/>
        </w:rPr>
      </w:pPr>
      <w:r>
        <w:rPr>
          <w:rFonts w:ascii="楷体" w:hAnsi="楷体" w:eastAsia="楷体" w:cs="楷体"/>
          <w:color w:val="000000"/>
        </w:rPr>
        <w:t>农牧交错带是指以草地和农田大面积交错分布为特点的生态系统。我国北方农牧交错带呈带状分布，东宽西窄，长期以来多种原因导致该区域资源环境压力越来越大。我国南方农牧交错带位于青藏高原与云贵高原和四川盆地的过渡地带，也是长江流域重要水源涵养地和生态屏障，但受区域内自然、社会等因素的限制，该区域生态环境问题突出，不仅严重制约了当地的经济发展，而且还损害这长江中下游地区的生态安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000000"/>
        </w:rPr>
      </w:pPr>
      <w:r>
        <w:rPr>
          <w:color w:val="000000"/>
        </w:rPr>
        <w:drawing>
          <wp:inline distT="0" distB="0" distL="114300" distR="114300">
            <wp:extent cx="2853055" cy="2108200"/>
            <wp:effectExtent l="0" t="0" r="12065" b="1016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2853055" cy="2108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（1）</w:t>
      </w:r>
      <w:r>
        <w:rPr>
          <w:rFonts w:ascii="宋体" w:hAnsi="宋体" w:eastAsia="宋体" w:cs="宋体"/>
          <w:color w:val="000000"/>
        </w:rPr>
        <w:t>简述图中农牧交错带的过渡性地域特征。</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center"/>
        <w:rPr>
          <w:rFonts w:hint="eastAsia" w:ascii="隶书" w:hAnsi="隶书" w:eastAsia="隶书" w:cs="隶书"/>
          <w:color w:val="000000"/>
        </w:rPr>
      </w:pPr>
      <w:r>
        <w:rPr>
          <w:rFonts w:hint="eastAsia" w:ascii="隶书" w:hAnsi="隶书" w:eastAsia="隶书" w:cs="隶书"/>
          <w:color w:val="000000"/>
        </w:rPr>
        <w:t xml:space="preserve">位于半湿润与半干旱地区的过渡地带（温带季风气候与温带大陆性气候过渡地带）；位于平原与山地、高原的过渡地带；位于人口密集区向稀疏区过渡。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（2）</w:t>
      </w:r>
      <w:r>
        <w:rPr>
          <w:rFonts w:ascii="宋体" w:hAnsi="宋体" w:eastAsia="宋体" w:cs="宋体"/>
          <w:color w:val="000000"/>
        </w:rPr>
        <w:t>简述我国北方农牧交错带土地退化的自然原因。</w:t>
      </w:r>
    </w:p>
    <w:p>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隶书" w:hAnsi="隶书" w:eastAsia="隶书" w:cs="隶书"/>
          <w:color w:val="000000"/>
        </w:rPr>
      </w:pPr>
      <w:r>
        <w:rPr>
          <w:rFonts w:hint="eastAsia" w:ascii="隶书" w:hAnsi="隶书" w:eastAsia="隶书" w:cs="隶书"/>
          <w:color w:val="000000"/>
          <w:lang w:val="en-US" w:eastAsia="zh-CN"/>
        </w:rPr>
        <w:t xml:space="preserve">    </w:t>
      </w:r>
      <w:r>
        <w:rPr>
          <w:rFonts w:hint="eastAsia" w:ascii="隶书" w:hAnsi="隶书" w:eastAsia="隶书" w:cs="隶书"/>
          <w:color w:val="000000"/>
        </w:rPr>
        <w:t xml:space="preserve">降水变率大；多大风，且集中于冬春季节；植被覆盖率低；多沙质土壤，易被侵蚀。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（3）</w:t>
      </w:r>
      <w:r>
        <w:rPr>
          <w:rFonts w:ascii="宋体" w:hAnsi="宋体" w:eastAsia="宋体" w:cs="宋体"/>
          <w:color w:val="000000"/>
        </w:rPr>
        <w:t>请为我国北方农牧交错带土地退化的治理提出合理化建议。</w:t>
      </w:r>
    </w:p>
    <w:p>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隶书" w:hAnsi="隶书" w:eastAsia="隶书" w:cs="隶书"/>
          <w:color w:val="000000"/>
        </w:rPr>
      </w:pPr>
      <w:r>
        <w:rPr>
          <w:rFonts w:hint="eastAsia" w:ascii="隶书" w:hAnsi="隶书" w:eastAsia="隶书" w:cs="隶书"/>
          <w:color w:val="000000"/>
          <w:lang w:val="en-US" w:eastAsia="zh-CN"/>
        </w:rPr>
        <w:t xml:space="preserve">    </w:t>
      </w:r>
      <w:r>
        <w:rPr>
          <w:rFonts w:hint="eastAsia" w:ascii="隶书" w:hAnsi="隶书" w:eastAsia="隶书" w:cs="隶书"/>
          <w:color w:val="000000"/>
        </w:rPr>
        <w:t xml:space="preserve">因地制宜，调整农业生产结构；合理利用水资源；采取措施构筑防护体系；退耕还林还草，恢复自然植被；控制人口数量，提高环境保护意识。    </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r>
        <w:rPr>
          <w:color w:val="000000"/>
        </w:rPr>
        <w:t>（4）</w:t>
      </w:r>
      <w:r>
        <w:rPr>
          <w:rFonts w:ascii="宋体" w:hAnsi="宋体" w:eastAsia="宋体" w:cs="宋体"/>
          <w:color w:val="000000"/>
        </w:rPr>
        <w:t>近年来我国加强对南方农牧交错带内长江流域水源涵养地的保护，请说明其生态意义。</w:t>
      </w:r>
    </w:p>
    <w:p>
      <w:pPr>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隶书" w:hAnsi="隶书" w:eastAsia="隶书" w:cs="隶书"/>
          <w:color w:val="000000"/>
        </w:rPr>
      </w:pPr>
      <w:r>
        <w:rPr>
          <w:rFonts w:hint="eastAsia" w:ascii="隶书" w:hAnsi="隶书" w:eastAsia="隶书" w:cs="隶书"/>
          <w:color w:val="000000"/>
          <w:lang w:val="en-US" w:eastAsia="zh-CN"/>
        </w:rPr>
        <w:t xml:space="preserve">   </w:t>
      </w:r>
      <w:r>
        <w:rPr>
          <w:rFonts w:hint="eastAsia" w:ascii="隶书" w:hAnsi="隶书" w:eastAsia="隶书" w:cs="隶书"/>
          <w:color w:val="000000"/>
        </w:rPr>
        <w:t>保护地表植被，维持生物多样性；涵养水源，减轻长江流域洪涝灾害；保持水土，减少滑坡、泥石流的发生几率。</w:t>
      </w: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000000"/>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napToGrid/>
        <w:spacing w:line="240" w:lineRule="auto"/>
        <w:textAlignment w:val="center"/>
        <w:rPr>
          <w:color w:val="2E75B6"/>
        </w:rPr>
      </w:pPr>
    </w:p>
    <w:p>
      <w:pPr>
        <w:keepNext w:val="0"/>
        <w:keepLines w:val="0"/>
        <w:pageBreakBefore w:val="0"/>
        <w:widowControl w:val="0"/>
        <w:kinsoku/>
        <w:wordWrap/>
        <w:overflowPunct/>
        <w:topLinePunct w:val="0"/>
        <w:autoSpaceDE/>
        <w:autoSpaceDN/>
        <w:bidi w:val="0"/>
        <w:adjustRightInd/>
        <w:spacing w:line="240" w:lineRule="auto"/>
        <w:rPr>
          <w:rFonts w:hint="eastAsia" w:ascii="隶书" w:hAnsi="隶书" w:eastAsia="隶书" w:cs="隶书"/>
        </w:rPr>
      </w:pPr>
      <w:bookmarkStart w:id="0" w:name="_GoBack"/>
      <w:bookmarkEnd w:id="0"/>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汉仪书宋二简">
    <w:altName w:val="Times New Roman"/>
    <w:panose1 w:val="02020603050000020304"/>
    <w:charset w:val="00"/>
    <w:family w:val="roman"/>
    <w:pitch w:val="default"/>
    <w:sig w:usb0="00000000" w:usb1="0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420827"/>
    <w:rsid w:val="27CD5E19"/>
    <w:rsid w:val="41346F5A"/>
    <w:rsid w:val="56287546"/>
    <w:rsid w:val="60B260CF"/>
    <w:rsid w:val="72C03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86136</dc:creator>
  <cp:lastModifiedBy>86136</cp:lastModifiedBy>
  <dcterms:modified xsi:type="dcterms:W3CDTF">2025-03-20T01:27:56Z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ies>
</file>