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E03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022251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学年度第二学期高二语文学科导学案</w:t>
      </w:r>
    </w:p>
    <w:p w14:paraId="4CCB3A84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归去来兮辞并序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6F0684F3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桑翊淇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2D137074"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2025.05.06</w:t>
      </w:r>
    </w:p>
    <w:bookmarkEnd w:id="0"/>
    <w:p w14:paraId="5B091E8C">
      <w:pPr>
        <w:spacing w:line="3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bookmarkStart w:id="1" w:name="_Hlk97022317"/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 w14:paraId="60CE764D">
      <w:pPr>
        <w:spacing w:line="360" w:lineRule="exact"/>
        <w:ind w:firstLine="420" w:firstLineChars="200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Cs w:val="21"/>
        </w:rPr>
        <w:t>旨在培养学生丰富语言积累、梳理语言现象的习惯，在观察、探索语言文字现象，发现语言文字运用问题的过程中，自主积累语文知识，探究语言文字运用规律，增强语言文字运用的敏感性，提高探究、发现的能力，感受祖国语言文字的独特魅力，增强热爱祖国语言文字的感情。</w:t>
      </w:r>
    </w:p>
    <w:p w14:paraId="238E61A2">
      <w:pPr>
        <w:widowControl/>
        <w:numPr>
          <w:ilvl w:val="0"/>
          <w:numId w:val="1"/>
        </w:numPr>
        <w:spacing w:line="3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bookmarkEnd w:id="1"/>
    <w:p w14:paraId="69E563C8"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了解作者</w:t>
      </w:r>
    </w:p>
    <w:p w14:paraId="6E3FFC13"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(约365—427),名潜,字渊明,又字元亮,东晋诗人、辞赋家、散文家。曾著《五柳先生传》以自况,卒后朋友私谥“靖节”,故后人称“靖节先生”。陶渊明出身于贵族世家,受儒、道思想影响很深,年轻时曾怀有“大济于苍生”的壮志,又因家境贫寒,29岁时走上仕途,历任江州祭酒、镇军参军、彭泽县令等下级官职,每次任职时间都很短。几度出仕,使他逐渐认清了当时官场的污浊与黑暗。还家归隐后,他过起了自由闲适的田园生活。此后二十多年,虽忧愤常积于心,生活困窘多难,却再无出仕之念,后在贫病交迫中去世。 </w:t>
      </w:r>
    </w:p>
    <w:p w14:paraId="4009C672"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解题</w:t>
      </w:r>
    </w:p>
    <w:p w14:paraId="1991EE47"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辞：是一种文体，它介于散文和诗歌之间，是战国时期屈原创造的，楚辞大家应该不陌生吧。到了汉代时常把辞和赋并称。它们注重文采，讲究铺排，善于用典。赋偏重说理咏物，辞注重言情，一般要押韵，并多用四个字或六个字的对偶句。</w:t>
      </w:r>
    </w:p>
    <w:p w14:paraId="3930CC2F"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②兮是语气词。</w:t>
      </w:r>
    </w:p>
    <w:p w14:paraId="0F2464FC"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归去来：文学界有两种看法：A、“归去来”是“归去”和“归来”的并列形式，相对官场而言，作者是归去，相对田园而言，他是归来。B、“去来”实际上是偏义复词，意思重在“去”。④归去来----回去吧，回去吧。似乎是一种召唤。 </w:t>
      </w:r>
    </w:p>
    <w:p w14:paraId="26DF1A6C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eastAsia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内容介绍</w:t>
      </w:r>
    </w:p>
    <w:p w14:paraId="4C866808"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文学史上,《归去来兮辞》是一篇很着名的作品,宋朝的大文学家欧阳修甚至说,“晋无文章,惟陶渊明《归去来兮辞》而已。”这样的推祟未必恰当,这只是说明这篇文章之所以这样受人推崇,是因为作者在当时不愿与混浊的社会同流合污,蔑视和厌恶官场的卑鄙生活,感情真挚,写得富于诗情画意,思想内容和写作技巧都有独到的地方。 </w:t>
      </w:r>
    </w:p>
    <w:p w14:paraId="7D748BEB"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章的主体是有韵的“辞”。主体之前有个“序”,说明写这篇文章的原由,这可以帮助读者更加透彻地了解文章的用意以及作者的思想和情操。主体的“辞”从厌恶仕宦生活,决心弃官回家写起,说明了“归去”的当然;有了这层意思,对比之下,下文归去之后的生活就显得更加欢乐。接着用三段文字写归去之后的生活和感受。一段写到家之后,庭园之内的欢乐和安闲,另一段写田间耕作和纵情山水的乐趣,最后一段写乐天知命、乘化任运思想下的无忧无虑。三段写了三层意思,一层比一层深远。</w:t>
      </w:r>
    </w:p>
    <w:p w14:paraId="0DF8D89A"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49AE34C8"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了解陶渊明的生平及文章写作背景。</w:t>
      </w:r>
    </w:p>
    <w:p w14:paraId="4DEA167A"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分析《归去来兮辞并序》的整体结构与各部分之间的联系。</w:t>
      </w:r>
    </w:p>
    <w:p w14:paraId="106CBDBD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反思陶渊明的精神追求在当下的价值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。</w:t>
      </w:r>
    </w:p>
    <w:p w14:paraId="6D4263EE">
      <w:pPr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OLE_LINK1"/>
      <w:bookmarkStart w:id="3" w:name="OLE_LINK2"/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1AD558C4">
      <w:pPr>
        <w:adjustRightInd w:val="0"/>
        <w:spacing w:line="360" w:lineRule="exact"/>
        <w:jc w:val="left"/>
        <w:rPr>
          <w:rFonts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（一）预习检查</w:t>
      </w:r>
    </w:p>
    <w:bookmarkEnd w:id="2"/>
    <w:bookmarkEnd w:id="3"/>
    <w:p w14:paraId="623DB0C0"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明确字音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</w:p>
    <w:p w14:paraId="404C389D">
      <w:pPr>
        <w:adjustRightInd w:val="0"/>
        <w:spacing w:line="360" w:lineRule="exact"/>
        <w:jc w:val="left"/>
        <w:rPr>
          <w:rFonts w:hint="eastAsia" w:ascii="宋体" w:hAnsi="宋体" w:eastAsia="宋体" w:cs="Times New Roman (正文 CS 字体)"/>
          <w:szCs w:val="21"/>
          <w:em w:val="dot"/>
        </w:rPr>
      </w:pPr>
      <w:r>
        <w:rPr>
          <w:rFonts w:hint="eastAsia" w:ascii="宋体" w:hAnsi="宋体" w:eastAsia="宋体" w:cs="Times New Roman (正文 CS 字体)"/>
          <w:szCs w:val="21"/>
          <w:em w:val="dot"/>
        </w:rPr>
        <w:t>惆怅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 xml:space="preserve"> 飏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>熹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）微</w:t>
      </w:r>
      <w:r>
        <w:rPr>
          <w:rFonts w:hint="eastAsia" w:ascii="宋体" w:hAnsi="宋体" w:eastAsia="宋体" w:cs="Times New Roman (正文 CS 字体)"/>
          <w:szCs w:val="21"/>
          <w:em w:val="dot"/>
        </w:rPr>
        <w:t xml:space="preserve"> </w:t>
      </w:r>
      <w:r>
        <w:rPr>
          <w:rFonts w:hint="eastAsia" w:ascii="宋体" w:hAnsi="宋体" w:eastAsia="宋体" w:cs="Times New Roman (正文 CS 字体)"/>
          <w:szCs w:val="21"/>
          <w:em w:val="dot"/>
          <w:lang w:val="en-US" w:eastAsia="zh-CN"/>
        </w:rPr>
        <w:t xml:space="preserve">     </w:t>
      </w:r>
      <w:r>
        <w:rPr>
          <w:rFonts w:hint="eastAsia" w:ascii="宋体" w:hAnsi="宋体" w:eastAsia="宋体" w:cs="Times New Roman (正文 CS 字体)"/>
          <w:szCs w:val="21"/>
          <w:em w:val="dot"/>
        </w:rPr>
        <w:t>樽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 xml:space="preserve"> 眄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</w:p>
    <w:p w14:paraId="057E34C5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hint="eastAsia" w:ascii="宋体" w:hAnsi="宋体" w:eastAsia="宋体" w:cs="Times New Roman (正文 CS 字体)"/>
          <w:szCs w:val="21"/>
          <w:em w:val="dot"/>
        </w:rPr>
        <w:t>岫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 (正文 CS 字体)"/>
          <w:szCs w:val="21"/>
          <w:em w:val="dot"/>
        </w:rPr>
        <w:t>翳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盘</w:t>
      </w:r>
      <w:r>
        <w:rPr>
          <w:rFonts w:hint="eastAsia" w:ascii="宋体" w:hAnsi="宋体" w:eastAsia="宋体" w:cs="Times New Roman (正文 CS 字体)"/>
          <w:szCs w:val="21"/>
          <w:em w:val="dot"/>
        </w:rPr>
        <w:t>桓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 (正文 CS 字体)"/>
          <w:szCs w:val="21"/>
          <w:em w:val="dot"/>
        </w:rPr>
        <w:t>棹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 (正文 CS 字体)"/>
          <w:szCs w:val="21"/>
          <w:em w:val="dot"/>
        </w:rPr>
        <w:t>窈窕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>皋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 xml:space="preserve">）   </w:t>
      </w:r>
    </w:p>
    <w:p w14:paraId="5876DD5E"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（二）文本研究</w:t>
      </w:r>
    </w:p>
    <w:p w14:paraId="31924539">
      <w:pPr>
        <w:adjustRightInd w:val="0"/>
        <w:spacing w:line="480" w:lineRule="auto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【思考1】</w:t>
      </w:r>
      <w:r>
        <w:rPr>
          <w:rFonts w:hint="eastAsia" w:ascii="宋体" w:hAnsi="宋体" w:eastAsia="宋体" w:cs="Times New Roman"/>
          <w:szCs w:val="21"/>
        </w:rPr>
        <w:t>请同学们自由朗读课文，并结合教材注释思考：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本</w:t>
      </w:r>
      <w:r>
        <w:rPr>
          <w:rFonts w:hint="eastAsia" w:ascii="宋体" w:hAnsi="宋体" w:eastAsia="宋体" w:cs="Times New Roman"/>
          <w:szCs w:val="21"/>
        </w:rPr>
        <w:t>篇文章主要讲了什么内容？</w:t>
      </w:r>
    </w:p>
    <w:p w14:paraId="4A59AE67">
      <w:pPr>
        <w:adjustRightInd w:val="0"/>
        <w:spacing w:line="360" w:lineRule="exact"/>
        <w:jc w:val="left"/>
        <w:rPr>
          <w:rFonts w:hint="default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【思考2】</w:t>
      </w:r>
      <w:bookmarkStart w:id="4" w:name="_Hlk122339368"/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学生分组探究《归去来兮辞》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文句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疏通大意。</w:t>
      </w:r>
    </w:p>
    <w:p w14:paraId="12C67A48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活动引领：要求找出文章中的通假字、词类活用、一词多义、古今异义和特殊句式。然后在这个基础上，每组翻译一个自然段。</w:t>
      </w:r>
      <w:bookmarkEnd w:id="4"/>
    </w:p>
    <w:p w14:paraId="7F854E1E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9775858"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hAnsi="宋体" w:cs="Times New Roman"/>
        </w:rPr>
        <w:t>【思考</w:t>
      </w:r>
      <w:r>
        <w:rPr>
          <w:rFonts w:hAnsi="宋体" w:cs="Times New Roman"/>
        </w:rPr>
        <w:t>3</w:t>
      </w:r>
      <w:r>
        <w:rPr>
          <w:rFonts w:hint="eastAsia" w:hAnsi="宋体" w:cs="Times New Roman"/>
        </w:rPr>
        <w:t>】序文交代了作者辞官归隐的原因，请根据序文内容分条归纳总结。</w:t>
      </w:r>
    </w:p>
    <w:p w14:paraId="78A935AB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 w14:paraId="7F2BAE20">
      <w:pPr>
        <w:numPr>
          <w:ilvl w:val="0"/>
          <w:numId w:val="2"/>
        </w:numPr>
        <w:spacing w:line="360" w:lineRule="exact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课后导悟</w:t>
      </w:r>
    </w:p>
    <w:p w14:paraId="631D5E5B">
      <w:pPr>
        <w:adjustRightInd w:val="0"/>
        <w:spacing w:line="360" w:lineRule="exact"/>
        <w:jc w:val="center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陶公祠的菊花</w:t>
      </w:r>
    </w:p>
    <w:p w14:paraId="1D318D31">
      <w:pPr>
        <w:adjustRightInd w:val="0"/>
        <w:spacing w:line="360" w:lineRule="exact"/>
        <w:jc w:val="center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夏立军</w:t>
      </w:r>
    </w:p>
    <w:p w14:paraId="5F58E6B5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江水是菊黄色的，那江水里流动着的莫不真是晋朝的菊花？</w:t>
      </w:r>
    </w:p>
    <w:p w14:paraId="27C8986C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已经不是菊花季节，陶公祠院中那两厢曾经盛开的菊花都已败萎了，只偶尔还露出残的黄色。祠在江边，就在这段被称为菊江的长江边。这地方真个与菊有缘，有“菊江”“菊邑”，还有个乡叫“黄菊乡”。我依然走在菊花的意韵之中，初冬那菊黄色的阳光和身边那座被菊黄色历史装帧的古建筑，以及存在于胸臆之中的菊花般的品格，和风中飘荡的大朵大朵菊花般的幻想，都让我陶然如醉。</w:t>
      </w:r>
    </w:p>
    <w:p w14:paraId="6EB86173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陶渊明，曾在这里种菊，种出了一大片他认为应该存传后世的文人们的自珍和清高之气。我知道他其实很想做官，少时就有猛志：“少时壮且厉，抚剑独行游。谁言行游近，张掖到幽州。”而且，他也做官，只是受不了官场那种腐气，那般骄奢淫逸。他的腰椎骨似乎很硬，不愿为五斗米而弯。他就把大印挂在彭泽县的大堂上，然后走出来，走到风和阳光之中，走到那片贫寒却诚实的土地之上。他耕种的姿势或许可笑，腰弓着，整个上身几乎与土地平行。人们并不知道，他是一边耕种，一边在泥土中寻他的诗句。</w:t>
      </w:r>
    </w:p>
    <w:p w14:paraId="6C5F1595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陶公祠中有一尊陶公像，高丈余，乌石所镌，给人一股子凛凛不可侵犯的傲然。真正的陶渊明当然不会是这个样子，他后来穷得没饭吃，没酒喝，甚至乞讨过，那样子一准佝偻，哪能有如此威风？但我却懂得塑者的匠心：他并不只是雕塑东晋的那个人，而是塑他冷傲的气质。仰望陶公塑像，几分崇敬，几缕亲近。他似乎有话要说，却是欲说还休。1600年了，他要说的话，都变成大朵大朵的菊花了吧！</w:t>
      </w:r>
    </w:p>
    <w:p w14:paraId="41688119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苏东坡曰：“渊明诗初视若散缓，熟视有奇趣。如曰：‘暧暧远人村，依依墟里烟。狗吠深巷中，鸡鸣桑树颠。’又曰：‘采菊东篱下，悠然见南山。’大率才高意远，则所寓得奇妙，遂能如此。如大匠运斤，无斧凿痕。”东坡大抵是闻过陶渊明的菊花味的，不仅闻过，而且深深地闻过，他在《水龙吟》中言道：“须信此翁未死，到如今凛然生气，吾侪心事，古今常在。”陶公或真未死，若真未死，当在菊花之间，以一种清傲之气面对滔滔菊江和无期无尽的岁月。</w:t>
      </w:r>
    </w:p>
    <w:p w14:paraId="15210EB7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祠不大，却修葺得很好，在江边一块高地上。祠后有塔，曰“秀峰塔”，另有一塔在不远处，叫“天然塔”，被称为“江流双塔”。祠与塔构成了一种沉重而冷肃的气氛，在江边，在永远盛开的菊花之中。</w:t>
      </w:r>
    </w:p>
    <w:p w14:paraId="1586DCA7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“菊，花之隐逸者也”，故而东晋大诗人陶渊明在百花之中独爱菊。傲霜开放、凌寒不凋、花容艳丽、韵致高雅的菊花，岂不是隐者陶公的化身？而他那种对清明社会的憧憬并不能成为现实，他只能归隐田园，借以保持他清高的志节，寻求他对社会清明的理想。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 </w:t>
      </w:r>
    </w:p>
    <w:p w14:paraId="1CF0C665">
      <w:pPr>
        <w:adjustRightInd w:val="0"/>
        <w:spacing w:line="360" w:lineRule="exact"/>
        <w:ind w:firstLine="422" w:firstLineChars="200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  <w:lang w:val="en-US" w:eastAsia="zh-CN"/>
        </w:rPr>
      </w:pPr>
    </w:p>
    <w:p w14:paraId="51E857D2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学年度第二学期高二语文学科作业</w:t>
      </w:r>
    </w:p>
    <w:p w14:paraId="50FC130D">
      <w:pPr>
        <w:spacing w:line="36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归去来兮辞并序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》第一课时</w:t>
      </w:r>
    </w:p>
    <w:p w14:paraId="468C711E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桑翊淇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2E3F93F7"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时间：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2025.05.06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作业时长：45分钟</w:t>
      </w:r>
    </w:p>
    <w:p w14:paraId="2DD83FD9">
      <w:pPr>
        <w:widowControl/>
        <w:spacing w:line="360" w:lineRule="exact"/>
        <w:jc w:val="left"/>
        <w:textAlignment w:val="baseline"/>
        <w:rPr>
          <w:rFonts w:hint="eastAsia" w:ascii="宋体" w:hAnsi="宋体" w:eastAsia="宋体" w:cs="宋体"/>
          <w:b/>
          <w:szCs w:val="21"/>
          <w:lang w:eastAsia="zh-CN"/>
        </w:rPr>
      </w:pPr>
      <w:bookmarkStart w:id="5" w:name="_Hlk92784173"/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5"/>
    </w:p>
    <w:p w14:paraId="089FD246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文化常识       </w:t>
      </w:r>
    </w:p>
    <w:p w14:paraId="0E6D52A9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（1）瓶：                                                        </w:t>
      </w:r>
    </w:p>
    <w:p w14:paraId="38FFDCB0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（2）长吏：                                                        </w:t>
      </w:r>
    </w:p>
    <w:p w14:paraId="339C6E28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（3）四方：                                                        </w:t>
      </w:r>
    </w:p>
    <w:p w14:paraId="18D186CE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（4）诸侯：                                                        </w:t>
      </w:r>
    </w:p>
    <w:p w14:paraId="40236699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（5）家叔：                                                        </w:t>
      </w:r>
    </w:p>
    <w:p w14:paraId="7AD11949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（6）风波：                                                        </w:t>
      </w:r>
    </w:p>
    <w:p w14:paraId="48561C7E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（7）彭泽：                                                        </w:t>
      </w:r>
    </w:p>
    <w:p w14:paraId="5D4EF629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（8）交病：                                                        </w:t>
      </w:r>
    </w:p>
    <w:p w14:paraId="2FDE53A1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（9）从人事：                                                        </w:t>
      </w:r>
    </w:p>
    <w:p w14:paraId="3C8E6575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（10）一稔[rěn]：                                                        </w:t>
      </w:r>
    </w:p>
    <w:p w14:paraId="309CF83D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（11）仲秋：                                                        </w:t>
      </w:r>
    </w:p>
    <w:p w14:paraId="160C65AF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（12）谏：                                                        </w:t>
      </w:r>
    </w:p>
    <w:p w14:paraId="4736FDF4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（13）迷途：                                                        </w:t>
      </w:r>
    </w:p>
    <w:p w14:paraId="668B56D8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（14）征夫：                                                        </w:t>
      </w:r>
    </w:p>
    <w:p w14:paraId="3C78DB48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（15）衡宇：                                                        </w:t>
      </w:r>
    </w:p>
    <w:p w14:paraId="003EFE62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（16）稚子：                                                        </w:t>
      </w:r>
    </w:p>
    <w:p w14:paraId="64B598B8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（17）三径：                                                        </w:t>
      </w:r>
    </w:p>
    <w:p w14:paraId="0EF539E9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（18）岫：                                                        </w:t>
      </w:r>
    </w:p>
    <w:p w14:paraId="31E44866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（19）息交：                                                        </w:t>
      </w:r>
    </w:p>
    <w:p w14:paraId="50D7B4AC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（20）有事：                                                        </w:t>
      </w:r>
    </w:p>
    <w:p w14:paraId="6B994275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（21）畴：                                                        </w:t>
      </w:r>
    </w:p>
    <w:p w14:paraId="70507122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（22）巾车：                                                        </w:t>
      </w:r>
    </w:p>
    <w:p w14:paraId="259B92A8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（23）宇内：                                                        </w:t>
      </w:r>
    </w:p>
    <w:p w14:paraId="77B56EC7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（24）帝乡：                                                        </w:t>
      </w:r>
    </w:p>
    <w:p w14:paraId="6A3D3BE1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（25）皋：                                                        </w:t>
      </w:r>
    </w:p>
    <w:p w14:paraId="4AE9620D"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（26）啸：                                                        </w:t>
      </w:r>
    </w:p>
    <w:p w14:paraId="69A8779F">
      <w:pPr>
        <w:spacing w:line="360" w:lineRule="exact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（27）乘化：                                                        </w:t>
      </w:r>
    </w:p>
    <w:p w14:paraId="1F16965A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二、拓展导练</w:t>
      </w:r>
    </w:p>
    <w:p w14:paraId="44B129B2">
      <w:pPr>
        <w:spacing w:line="360" w:lineRule="exact"/>
        <w:jc w:val="left"/>
        <w:textAlignment w:val="center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>阅读下面的文字，完成下面小题。</w:t>
      </w:r>
    </w:p>
    <w:p w14:paraId="7690B384">
      <w:pPr>
        <w:numPr>
          <w:ilvl w:val="0"/>
          <w:numId w:val="0"/>
        </w:numPr>
        <w:spacing w:line="360" w:lineRule="exact"/>
        <w:ind w:firstLine="840" w:firstLineChars="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笔下的桃花源是被审美的汁液浸泡、又为理想的光环所笼罩着的山水，它是作者幻化出的_______________。在当代中国，无论东西南北，都能_______________找到“桃花源”。不同的“桃花源”，折射出人们对理想家园不同的理解认知。但每一个“桃花源”里似乎都有陶渊明的影子，真可谓一处桃源“一陶翁”。陶渊明在归隐前也不是没有参与过政治，读书人谁不想建功立业？他一上任就在自己从政的小舞台上_______________地搞改革，却引来了上级监察和考核官员政绩的官吏来找麻烦。陶渊明大怒：“我安能为五斗米折腰？”连夜罢官而去。从此，他就这样一直在乡下读书，思考，种地。终于在他弃彭泽令回家16年后的57岁时写成脍炙人口的《桃花源记》。</w:t>
      </w:r>
      <w:r>
        <w:rPr>
          <w:rFonts w:hint="eastAsia" w:ascii="宋体" w:hAnsi="宋体" w:eastAsia="宋体" w:cs="宋体"/>
          <w:szCs w:val="21"/>
          <w:u w:val="single"/>
        </w:rPr>
        <w:t>陶渊明勾勒出一个理想社会，让人们不断去追求，但他不是政治家；他不是专门的哲学家，却给出了人生智慧，设计了一种最好的心态，让人们得到解脱；他描绘了一幅最美的山水图，让人们不断地去寻找，但他不是专门的游记作家。</w:t>
      </w:r>
      <w:r>
        <w:rPr>
          <w:rFonts w:hint="eastAsia" w:ascii="宋体" w:hAnsi="宋体" w:eastAsia="宋体" w:cs="宋体"/>
          <w:szCs w:val="21"/>
        </w:rPr>
        <w:t>如果真要说专业的话，陶渊明只是一个诗人，他开创了田园诗派，用美来净化人们的心灵。</w:t>
      </w:r>
    </w:p>
    <w:p w14:paraId="16BA06D5">
      <w:pPr>
        <w:numPr>
          <w:ilvl w:val="0"/>
          <w:numId w:val="3"/>
        </w:num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请在文中横线处填入恰当的成语。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6BB2BF4C">
      <w:pPr>
        <w:numPr>
          <w:ilvl w:val="0"/>
          <w:numId w:val="3"/>
        </w:numPr>
        <w:spacing w:line="360" w:lineRule="exact"/>
        <w:ind w:left="0" w:leftChars="0" w:firstLine="0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文中画横线的句子有语病，下列修改最恰当的一项是（   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6949A77C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A．人们把对理想家园不同的理解认知折射出不同的“桃花源”。</w:t>
      </w:r>
    </w:p>
    <w:p w14:paraId="7C993409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B．人们从对理想家园不同的理解认知中折射出不同的“桃花源”。</w:t>
      </w:r>
    </w:p>
    <w:p w14:paraId="72CC333D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C．不同的“桃花源”，反射出人们对理想家园不同的理解认知。</w:t>
      </w:r>
    </w:p>
    <w:p w14:paraId="53888C77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D．不同的“桃花源”，折射出人们对理想家园不同的理解认知。</w:t>
      </w:r>
    </w:p>
    <w:p w14:paraId="4A18110B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szCs w:val="21"/>
        </w:rPr>
        <w:t>下列各句中标点符号使用错误的一项（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52401DD3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A．但每一个“桃花源”里似乎都有陶渊明的影子，真可谓“一处桃源一陶翁”。</w:t>
      </w:r>
    </w:p>
    <w:p w14:paraId="7D718DC2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B．终于在他弃彭泽令回家16年后的57岁时写成脍炙人口的“桃花源记”。</w:t>
      </w:r>
    </w:p>
    <w:p w14:paraId="64FA6B15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C．“真没治！”“北京话”陷在姑娘的包围圈里，不知所措地嘟囔着。</w:t>
      </w:r>
    </w:p>
    <w:p w14:paraId="359FFA47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D．接着又听得毕毕剥剥的鞭炮，是四叔家正在“祝福”了。</w:t>
      </w:r>
    </w:p>
    <w:p w14:paraId="1AF95A13"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szCs w:val="21"/>
        </w:rPr>
        <w:t>在下面一段文字横线处补写恰当的语句，使整段文字语意完整连贯，内容贴切，逻辑严密，每处不超过15个字。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14EDC05D"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陶渊明不仅是诗人，也是思想家，沈德潜说诗“贵在理趣”，①__________。他的诗不是从抽象的哲理出发，②__________，将生活中的感受升华为哲理，又将这哲理连同生活的露水和芬芳一起诉诸诗的形象和语言。③__________，又有诗人的情趣，隽永厚朴，耐人寻味。</w:t>
      </w:r>
    </w:p>
    <w:p w14:paraId="57DB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hanging="2520" w:hangingChars="12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楷体"/>
          <w:color w:val="000000"/>
          <w:szCs w:val="21"/>
        </w:rPr>
        <w:t>________</w:t>
      </w:r>
    </w:p>
    <w:p w14:paraId="486C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</w:t>
      </w:r>
    </w:p>
    <w:p w14:paraId="5E1C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________________________________________</w:t>
      </w:r>
    </w:p>
    <w:p w14:paraId="7C9C35D0">
      <w:pPr>
        <w:adjustRightInd w:val="0"/>
        <w:snapToGrid w:val="0"/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 w14:paraId="350530EE"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bookmarkStart w:id="6" w:name="_Hlk98951034"/>
      <w:r>
        <w:rPr>
          <w:rFonts w:hint="eastAsia" w:ascii="宋体" w:hAnsi="宋体" w:eastAsia="宋体" w:cs="宋体"/>
          <w:szCs w:val="21"/>
        </w:rPr>
        <w:t>阅读下面这首</w:t>
      </w:r>
      <w:r>
        <w:rPr>
          <w:rFonts w:hint="eastAsia" w:ascii="宋体" w:hAnsi="宋体" w:eastAsia="宋体" w:cs="宋体"/>
          <w:szCs w:val="21"/>
          <w:lang w:eastAsia="zh-CN"/>
        </w:rPr>
        <w:t>诗歌</w:t>
      </w:r>
      <w:r>
        <w:rPr>
          <w:rFonts w:hint="eastAsia" w:ascii="宋体" w:hAnsi="宋体" w:eastAsia="宋体" w:cs="宋体"/>
          <w:szCs w:val="21"/>
        </w:rPr>
        <w:t>，完成</w:t>
      </w:r>
      <w:r>
        <w:rPr>
          <w:rFonts w:hint="eastAsia" w:ascii="宋体" w:hAnsi="宋体" w:eastAsia="宋体" w:cs="Times New Roman"/>
          <w:szCs w:val="21"/>
        </w:rPr>
        <w:t>下面小</w:t>
      </w:r>
      <w:r>
        <w:rPr>
          <w:rFonts w:hint="eastAsia" w:ascii="宋体" w:hAnsi="宋体" w:eastAsia="宋体" w:cs="宋体"/>
          <w:szCs w:val="21"/>
        </w:rPr>
        <w:t>题。</w:t>
      </w:r>
    </w:p>
    <w:p w14:paraId="7AE370D7"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拟古（其七）</w:t>
      </w:r>
    </w:p>
    <w:p w14:paraId="10A11ED5"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陶渊明</w:t>
      </w:r>
    </w:p>
    <w:p w14:paraId="6628BD63"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日暮天无云，春风扇微和。</w:t>
      </w:r>
    </w:p>
    <w:p w14:paraId="4350E74B"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佳人美清夜，达曙酣且歌。</w:t>
      </w:r>
    </w:p>
    <w:p w14:paraId="09FE1C98"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歌竟长叹息，持此感人多。</w:t>
      </w:r>
    </w:p>
    <w:p w14:paraId="6159C02D"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皎皎云间月，灼灼叶中华。</w:t>
      </w:r>
    </w:p>
    <w:p w14:paraId="2BADF827"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岂无一时好，不久当如何。</w:t>
      </w:r>
    </w:p>
    <w:p w14:paraId="63F86F44">
      <w:pPr>
        <w:spacing w:after="120" w:line="360" w:lineRule="exact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</w:rPr>
        <w:t>6．下列对这首诗的赏析，不恰当的一项是（   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391DBEFD"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A．这是一首仿拟同类题材的古诗而创作的诗歌，本诗承袭了从屈原到《古诗十九首》，再到曹植所形成的借“美人”来抒写自己情感的文学传统。</w:t>
      </w:r>
    </w:p>
    <w:p w14:paraId="22C840B6"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B．开头两句写春天日暮时分的景象，天空明净澄澈，春风轻柔温和，勾画出一幅自然春意融融、人物心旷神怡的沐春图，奠定了全诗的情感基调。</w:t>
      </w:r>
    </w:p>
    <w:p w14:paraId="6AF55971"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C．在这美好的清夜，一位佳人一边饮酒一边唱歌，直到天明。良辰美景赏心乐事，四美并具，写足了“信可乐也”的情绪，也为后篇的抒情蓄势。</w:t>
      </w:r>
    </w:p>
    <w:p w14:paraId="6E2EBFFF"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D．五、六两句乐极悲来，写佳人唱完歌后发出长长的叹息，善感的心中洒出种种复杂的思绪；如此的美丽春夜又能存在几时？自己的芳华又能保持多久？</w:t>
      </w:r>
    </w:p>
    <w:p w14:paraId="1C80691B">
      <w:pPr>
        <w:spacing w:after="120" w:line="360" w:lineRule="exac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</w:rPr>
        <w:t>7．最后四句表达了怎样的情感？请从表现手法角度简要分析。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357C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hanging="2520" w:hangingChars="12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楷体"/>
          <w:color w:val="000000"/>
          <w:szCs w:val="21"/>
        </w:rPr>
        <w:t>________</w:t>
      </w:r>
    </w:p>
    <w:p w14:paraId="593CD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</w:t>
      </w:r>
    </w:p>
    <w:p w14:paraId="4C122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________________________________________</w:t>
      </w:r>
    </w:p>
    <w:p w14:paraId="33160955">
      <w:pPr>
        <w:tabs>
          <w:tab w:val="left" w:pos="3261"/>
        </w:tabs>
        <w:adjustRightInd w:val="0"/>
        <w:snapToGrid w:val="0"/>
        <w:spacing w:line="36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四、补充练习</w:t>
      </w:r>
    </w:p>
    <w:p w14:paraId="5CE2F9D9">
      <w:pPr>
        <w:tabs>
          <w:tab w:val="left" w:pos="3261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t>阅读下面的文字，完成下面小题。</w:t>
      </w:r>
    </w:p>
    <w:bookmarkEnd w:id="6"/>
    <w:p w14:paraId="769F2798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陶渊明在《五柳先生传》中有一句关于读书的名言：“好读书，不求甚解；每有会意，便欣然忘食。”陶渊明所指在于体悟文章的精义而非①_____________，不能死抠字眼儿。这个“求”字应作“寻求”解而非“要求”解，即不以“甚解”作为“好读书”的目的。这么说即使你不同意，也②_____________，因为对于绝大多数读者而言，是把读书当作一种闲暇时的消遣，不是为了做学问而十分注重微观层面的研究。我们可以看到，（1）</w:t>
      </w:r>
      <w:r>
        <w:rPr>
          <w:rFonts w:hint="eastAsia" w:ascii="宋体" w:hAnsi="宋体" w:eastAsia="宋体" w:cs="楷体"/>
          <w:color w:val="000000"/>
          <w:szCs w:val="21"/>
          <w:u w:val="wave"/>
        </w:rPr>
        <w:t>大多数的读书，和进入系统阅读、主题阅读和深入阅读的层面的极少数的阅读相比，处于基础阅读、凭兴趣浏览和互联网式速食的状态</w:t>
      </w:r>
      <w:r>
        <w:rPr>
          <w:rFonts w:hint="eastAsia" w:ascii="宋体" w:hAnsi="宋体" w:eastAsia="宋体" w:cs="楷体"/>
          <w:color w:val="000000"/>
          <w:szCs w:val="21"/>
        </w:rPr>
        <w:t>。当然，以治学论，学人欲达上乘之境，（2）</w:t>
      </w:r>
      <w:r>
        <w:rPr>
          <w:rFonts w:hint="eastAsia" w:ascii="宋体" w:hAnsi="宋体" w:eastAsia="宋体" w:cs="楷体"/>
          <w:color w:val="000000"/>
          <w:szCs w:val="21"/>
          <w:u w:val="wave"/>
        </w:rPr>
        <w:t>要学有所专，思而能精，知且入深。</w:t>
      </w:r>
      <w:r>
        <w:rPr>
          <w:rFonts w:hint="eastAsia" w:ascii="宋体" w:hAnsi="宋体" w:eastAsia="宋体" w:cs="楷体"/>
          <w:color w:val="000000"/>
          <w:szCs w:val="21"/>
        </w:rPr>
        <w:t>这样的阅读，固然令人起敬。于今而言，阅读方式③_____________，发展变化很快，对于泛泛而读、粗略而读，还是不能轻视。这里谈到的是两种不同的阅读方法，一为浏览式阅读，于潜移默化、润物无声之中获取无形收益、长期效应；二为精思熟读，以学问的精进及某些专业领域剔肤见骨、探骊得珠为旨归。此二者虽然读书程度不同，然于心得神会处，皆能通达陶潜所言“每有会意，便欣然忘食”之境。这也是我由陶渊明这一名言想到的。</w:t>
      </w:r>
    </w:p>
    <w:p w14:paraId="4F8C7783">
      <w:pPr>
        <w:numPr>
          <w:ilvl w:val="0"/>
          <w:numId w:val="4"/>
        </w:num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请在文中横线处填入恰当的成语。</w:t>
      </w:r>
    </w:p>
    <w:p w14:paraId="4371AE8D">
      <w:pPr>
        <w:spacing w:line="360" w:lineRule="exact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 w:cs="楷体"/>
          <w:color w:val="000000"/>
          <w:szCs w:val="21"/>
        </w:rPr>
        <w:t>．文中画波浪线的部分，第（1）处是一个长句，第（2）处是三个短句，二者在表达效果上有什么不同？请简要说明。</w:t>
      </w:r>
    </w:p>
    <w:p w14:paraId="6A917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hanging="2520" w:hangingChars="12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楷体"/>
          <w:color w:val="000000"/>
          <w:szCs w:val="21"/>
        </w:rPr>
        <w:t>________</w:t>
      </w:r>
    </w:p>
    <w:p w14:paraId="18511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</w:t>
      </w:r>
    </w:p>
    <w:p w14:paraId="6927F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________________________________________</w:t>
      </w:r>
    </w:p>
    <w:p w14:paraId="2DB77098">
      <w:pPr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Cs w:val="21"/>
        </w:rPr>
      </w:pPr>
      <w:bookmarkStart w:id="7" w:name="_GoBack"/>
      <w:bookmarkEnd w:id="7"/>
    </w:p>
    <w:p w14:paraId="7B4D55F1">
      <w:pPr>
        <w:spacing w:line="360" w:lineRule="exact"/>
        <w:textAlignment w:val="center"/>
        <w:rPr>
          <w:rFonts w:hint="eastAsia" w:ascii="宋体" w:hAnsi="宋体" w:eastAsia="宋体"/>
          <w:b/>
          <w:bCs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29CA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D2964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2964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3BB03"/>
    <w:multiLevelType w:val="singleLevel"/>
    <w:tmpl w:val="8DA3BB0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B9AF6DC"/>
    <w:multiLevelType w:val="singleLevel"/>
    <w:tmpl w:val="AB9AF6DC"/>
    <w:lvl w:ilvl="0" w:tentative="0">
      <w:start w:val="8"/>
      <w:numFmt w:val="decimal"/>
      <w:suff w:val="nothing"/>
      <w:lvlText w:val="%1．"/>
      <w:lvlJc w:val="left"/>
    </w:lvl>
  </w:abstractNum>
  <w:abstractNum w:abstractNumId="2">
    <w:nsid w:val="ECD83CCF"/>
    <w:multiLevelType w:val="singleLevel"/>
    <w:tmpl w:val="ECD83C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2D7D56"/>
    <w:rsid w:val="00057F76"/>
    <w:rsid w:val="0009175F"/>
    <w:rsid w:val="001735A4"/>
    <w:rsid w:val="001D706D"/>
    <w:rsid w:val="002D7D56"/>
    <w:rsid w:val="002E2CB0"/>
    <w:rsid w:val="005957E5"/>
    <w:rsid w:val="00723E41"/>
    <w:rsid w:val="007D32E6"/>
    <w:rsid w:val="007E34D1"/>
    <w:rsid w:val="00A018CC"/>
    <w:rsid w:val="00A0347B"/>
    <w:rsid w:val="00B035C3"/>
    <w:rsid w:val="00C0725E"/>
    <w:rsid w:val="00D1488C"/>
    <w:rsid w:val="00DB5679"/>
    <w:rsid w:val="00ED1E3F"/>
    <w:rsid w:val="00EE6BC1"/>
    <w:rsid w:val="00F60A5C"/>
    <w:rsid w:val="019601F9"/>
    <w:rsid w:val="02C45A7A"/>
    <w:rsid w:val="18AD2F41"/>
    <w:rsid w:val="19546EA0"/>
    <w:rsid w:val="1BEF2AA3"/>
    <w:rsid w:val="1E1C6234"/>
    <w:rsid w:val="22105E95"/>
    <w:rsid w:val="24D40064"/>
    <w:rsid w:val="2C5B2595"/>
    <w:rsid w:val="2E3B4A75"/>
    <w:rsid w:val="2E4A2D2A"/>
    <w:rsid w:val="33D25BC0"/>
    <w:rsid w:val="33D463AE"/>
    <w:rsid w:val="37B22580"/>
    <w:rsid w:val="40592658"/>
    <w:rsid w:val="43321338"/>
    <w:rsid w:val="48657AC5"/>
    <w:rsid w:val="4FFE6835"/>
    <w:rsid w:val="59307595"/>
    <w:rsid w:val="647A5C45"/>
    <w:rsid w:val="6B903130"/>
    <w:rsid w:val="70455963"/>
    <w:rsid w:val="7AE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4620</Words>
  <Characters>4954</Characters>
  <Lines>78</Lines>
  <Paragraphs>22</Paragraphs>
  <TotalTime>4</TotalTime>
  <ScaleCrop>false</ScaleCrop>
  <LinksUpToDate>false</LinksUpToDate>
  <CharactersWithSpaces>6691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Administrator</dc:creator>
  <cp:lastModifiedBy>年喜</cp:lastModifiedBy>
  <dcterms:modified xsi:type="dcterms:W3CDTF">2025-05-09T07:45:21Z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A22C4A7F34C44330B0E07EAB71FF5E24_13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