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288" w:lineRule="auto"/>
        <w:jc w:val="center"/>
        <w:rPr>
          <w:rFonts w:hint="eastAsia" w:ascii="黑体" w:hAnsi="黑体" w:eastAsia="黑体" w:cs="黑体"/>
          <w:b/>
          <w:color w:val="auto"/>
          <w:sz w:val="28"/>
          <w:szCs w:val="28"/>
        </w:rPr>
      </w:pPr>
      <w:r>
        <w:rPr>
          <w:rFonts w:hint="eastAsia" w:ascii="黑体" w:hAnsi="黑体" w:eastAsia="黑体" w:cs="黑体"/>
          <w:b/>
          <w:color w:val="auto"/>
          <w:sz w:val="28"/>
          <w:szCs w:val="28"/>
        </w:rPr>
        <w:t>江苏省仪征中学202</w:t>
      </w:r>
      <w:r>
        <w:rPr>
          <w:rFonts w:hint="eastAsia" w:ascii="黑体" w:hAnsi="黑体" w:eastAsia="黑体" w:cs="黑体"/>
          <w:b/>
          <w:color w:val="auto"/>
          <w:sz w:val="28"/>
          <w:szCs w:val="28"/>
          <w:lang w:val="en-US" w:eastAsia="zh-CN"/>
        </w:rPr>
        <w:t>4</w:t>
      </w:r>
      <w:r>
        <w:rPr>
          <w:rFonts w:hint="eastAsia" w:ascii="黑体" w:hAnsi="黑体" w:eastAsia="黑体" w:cs="黑体"/>
          <w:b/>
          <w:color w:val="auto"/>
          <w:sz w:val="28"/>
          <w:szCs w:val="28"/>
        </w:rPr>
        <w:t>-20</w:t>
      </w:r>
      <w:r>
        <w:rPr>
          <w:rFonts w:hint="eastAsia" w:ascii="黑体" w:hAnsi="黑体" w:eastAsia="黑体" w:cs="黑体"/>
          <w:b/>
          <w:color w:val="auto"/>
          <w:sz w:val="28"/>
          <w:szCs w:val="28"/>
          <w:lang w:val="en-US" w:eastAsia="zh-CN"/>
        </w:rPr>
        <w:t>25</w:t>
      </w:r>
      <w:r>
        <w:rPr>
          <w:rFonts w:hint="eastAsia" w:ascii="黑体" w:hAnsi="黑体" w:eastAsia="黑体" w:cs="黑体"/>
          <w:b/>
          <w:color w:val="auto"/>
          <w:sz w:val="28"/>
          <w:szCs w:val="28"/>
        </w:rPr>
        <w:t>学年度第</w:t>
      </w:r>
      <w:r>
        <w:rPr>
          <w:rFonts w:hint="eastAsia" w:ascii="黑体" w:hAnsi="黑体" w:eastAsia="黑体" w:cs="黑体"/>
          <w:b/>
          <w:color w:val="auto"/>
          <w:sz w:val="28"/>
          <w:szCs w:val="28"/>
          <w:lang w:val="en-US" w:eastAsia="zh-CN"/>
        </w:rPr>
        <w:t>二</w:t>
      </w:r>
      <w:r>
        <w:rPr>
          <w:rFonts w:hint="eastAsia" w:ascii="黑体" w:hAnsi="黑体" w:eastAsia="黑体" w:cs="黑体"/>
          <w:b/>
          <w:color w:val="auto"/>
          <w:sz w:val="28"/>
          <w:szCs w:val="28"/>
        </w:rPr>
        <w:t>学期高</w:t>
      </w:r>
      <w:r>
        <w:rPr>
          <w:rFonts w:hint="eastAsia" w:ascii="黑体" w:hAnsi="黑体" w:eastAsia="黑体" w:cs="黑体"/>
          <w:b/>
          <w:color w:val="auto"/>
          <w:sz w:val="28"/>
          <w:szCs w:val="28"/>
          <w:lang w:val="en-US" w:eastAsia="zh-CN"/>
        </w:rPr>
        <w:t>三</w:t>
      </w:r>
      <w:r>
        <w:rPr>
          <w:rFonts w:hint="eastAsia" w:ascii="黑体" w:hAnsi="黑体" w:eastAsia="黑体" w:cs="黑体"/>
          <w:b/>
          <w:color w:val="auto"/>
          <w:sz w:val="28"/>
          <w:szCs w:val="28"/>
        </w:rPr>
        <w:t>生物学科导学案</w:t>
      </w:r>
    </w:p>
    <w:p>
      <w:pPr>
        <w:keepNext w:val="0"/>
        <w:keepLines w:val="0"/>
        <w:pageBreakBefore w:val="0"/>
        <w:widowControl w:val="0"/>
        <w:kinsoku/>
        <w:wordWrap/>
        <w:overflowPunct/>
        <w:topLinePunct w:val="0"/>
        <w:autoSpaceDE/>
        <w:autoSpaceDN/>
        <w:bidi w:val="0"/>
        <w:adjustRightInd/>
        <w:spacing w:line="288" w:lineRule="auto"/>
        <w:jc w:val="center"/>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周末试卷讲评（2）</w:t>
      </w:r>
    </w:p>
    <w:p>
      <w:pPr>
        <w:spacing w:line="440" w:lineRule="exact"/>
        <w:jc w:val="center"/>
        <w:rPr>
          <w:rFonts w:hint="eastAsia" w:ascii="楷体" w:hAnsi="楷体" w:eastAsia="楷体" w:cs="楷体"/>
          <w:bCs/>
          <w:color w:val="auto"/>
          <w:sz w:val="24"/>
          <w:lang w:val="en-US" w:eastAsia="zh-CN"/>
        </w:rPr>
      </w:pPr>
      <w:r>
        <w:rPr>
          <w:rFonts w:hint="eastAsia" w:ascii="楷体" w:hAnsi="楷体" w:eastAsia="楷体" w:cs="楷体"/>
          <w:bCs/>
          <w:color w:val="auto"/>
          <w:sz w:val="24"/>
        </w:rPr>
        <w:t>研制人：</w:t>
      </w:r>
      <w:r>
        <w:rPr>
          <w:rFonts w:hint="eastAsia" w:ascii="楷体" w:hAnsi="楷体" w:eastAsia="楷体" w:cs="楷体"/>
          <w:bCs/>
          <w:color w:val="auto"/>
          <w:sz w:val="24"/>
          <w:lang w:val="en-US" w:eastAsia="zh-CN"/>
        </w:rPr>
        <w:t>刘飞</w:t>
      </w:r>
      <w:r>
        <w:rPr>
          <w:rFonts w:hint="eastAsia" w:ascii="楷体" w:hAnsi="楷体" w:eastAsia="楷体" w:cs="楷体"/>
          <w:bCs/>
          <w:color w:val="auto"/>
          <w:sz w:val="24"/>
        </w:rPr>
        <w:t xml:space="preserve">    审核人：</w:t>
      </w:r>
      <w:r>
        <w:rPr>
          <w:rFonts w:hint="eastAsia" w:ascii="楷体" w:hAnsi="楷体" w:eastAsia="楷体" w:cs="楷体"/>
          <w:bCs/>
          <w:color w:val="auto"/>
          <w:sz w:val="24"/>
          <w:lang w:val="en-US" w:eastAsia="zh-CN"/>
        </w:rPr>
        <w:t>苏楠楠</w:t>
      </w:r>
    </w:p>
    <w:p>
      <w:pPr>
        <w:spacing w:line="440" w:lineRule="exact"/>
        <w:rPr>
          <w:rFonts w:hint="eastAsia" w:ascii="楷体" w:hAnsi="楷体" w:eastAsia="楷体" w:cs="楷体"/>
          <w:bCs/>
          <w:color w:val="auto"/>
          <w:sz w:val="24"/>
          <w:szCs w:val="24"/>
          <w:u w:val="single"/>
        </w:rPr>
      </w:pPr>
      <w:r>
        <w:rPr>
          <w:rFonts w:hint="eastAsia" w:ascii="楷体" w:hAnsi="楷体" w:eastAsia="楷体" w:cs="楷体"/>
          <w:bCs/>
          <w:color w:val="auto"/>
          <w:sz w:val="24"/>
          <w:szCs w:val="24"/>
        </w:rPr>
        <w:t>班级：____________姓名：____________学号：____________授课日期：</w:t>
      </w:r>
      <w:r>
        <w:rPr>
          <w:rFonts w:hint="eastAsia" w:ascii="楷体" w:hAnsi="楷体" w:eastAsia="楷体" w:cs="楷体"/>
          <w:bCs/>
          <w:color w:val="auto"/>
          <w:sz w:val="24"/>
        </w:rPr>
        <w:t>____________</w:t>
      </w:r>
    </w:p>
    <w:p>
      <w:pPr>
        <w:keepNext w:val="0"/>
        <w:keepLines w:val="0"/>
        <w:pageBreakBefore w:val="0"/>
        <w:widowControl w:val="0"/>
        <w:kinsoku/>
        <w:wordWrap/>
        <w:overflowPunct/>
        <w:topLinePunct w:val="0"/>
        <w:autoSpaceDE/>
        <w:autoSpaceDN/>
        <w:bidi w:val="0"/>
        <w:adjustRightInd/>
        <w:snapToGrid/>
        <w:spacing w:line="288" w:lineRule="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b/>
          <w:bCs/>
          <w:color w:val="auto"/>
          <w:sz w:val="21"/>
          <w:szCs w:val="21"/>
        </w:rPr>
        <w:t>学习目标</w:t>
      </w:r>
      <w:r>
        <w:rPr>
          <w:rFonts w:hint="eastAsia" w:ascii="宋体" w:hAnsi="宋体" w:eastAsia="宋体" w:cs="宋体"/>
          <w:color w:val="auto"/>
          <w:sz w:val="21"/>
          <w:szCs w:val="21"/>
        </w:rPr>
        <w:t>】</w:t>
      </w:r>
    </w:p>
    <w:p>
      <w:pPr>
        <w:spacing w:line="276" w:lineRule="auto"/>
        <w:rPr>
          <w:rFonts w:ascii="宋体" w:cs="Times New Roman"/>
          <w:color w:val="auto"/>
          <w:szCs w:val="21"/>
        </w:rPr>
      </w:pPr>
      <w:r>
        <w:rPr>
          <w:rFonts w:hint="eastAsia" w:ascii="宋体" w:cs="Times New Roman"/>
          <w:color w:val="auto"/>
          <w:szCs w:val="21"/>
        </w:rPr>
        <w:t>通过错误率较高问题的评讲，能够查漏补缺、夯实基础、提升能力</w:t>
      </w:r>
    </w:p>
    <w:p>
      <w:pPr>
        <w:spacing w:line="276" w:lineRule="auto"/>
        <w:rPr>
          <w:rFonts w:ascii="宋体" w:cs="Times New Roman"/>
          <w:color w:val="auto"/>
          <w:szCs w:val="21"/>
        </w:rPr>
      </w:pPr>
      <w:r>
        <w:rPr>
          <w:rFonts w:hint="eastAsia" w:ascii="宋体" w:cs="Times New Roman"/>
          <w:color w:val="auto"/>
          <w:szCs w:val="21"/>
        </w:rPr>
        <w:t>【</w:t>
      </w:r>
      <w:r>
        <w:rPr>
          <w:rFonts w:hint="eastAsia" w:ascii="宋体" w:cs="Times New Roman"/>
          <w:b/>
          <w:bCs/>
          <w:color w:val="auto"/>
          <w:szCs w:val="21"/>
        </w:rPr>
        <w:t>学习内容</w:t>
      </w:r>
      <w:r>
        <w:rPr>
          <w:rFonts w:hint="eastAsia" w:ascii="宋体" w:cs="Times New Roman"/>
          <w:color w:val="auto"/>
          <w:szCs w:val="21"/>
        </w:rPr>
        <w:t>】</w:t>
      </w:r>
    </w:p>
    <w:p>
      <w:pPr>
        <w:pStyle w:val="6"/>
        <w:rPr>
          <w:rFonts w:hint="eastAsia" w:ascii="宋体" w:hAnsi="宋体" w:eastAsia="宋体" w:cs="宋体"/>
          <w:color w:val="auto"/>
          <w:sz w:val="21"/>
          <w:szCs w:val="21"/>
        </w:rPr>
      </w:pPr>
      <w:r>
        <w:rPr>
          <w:rFonts w:hint="eastAsia" w:ascii="宋体" w:hAnsi="宋体" w:eastAsia="宋体" w:cs="宋体"/>
          <w:b/>
          <w:bCs/>
          <w:color w:val="auto"/>
          <w:kern w:val="0"/>
          <w:sz w:val="21"/>
          <w:szCs w:val="21"/>
        </w:rPr>
        <w:t>导读1：</w:t>
      </w:r>
      <w:r>
        <w:rPr>
          <w:rFonts w:hint="eastAsia" w:ascii="宋体" w:hAnsi="宋体" w:eastAsia="宋体" w:cs="宋体"/>
          <w:color w:val="auto"/>
          <w:kern w:val="2"/>
          <w:sz w:val="21"/>
          <w:szCs w:val="21"/>
          <w:lang w:val="en-US" w:eastAsia="zh-CN" w:bidi="ar-SA"/>
        </w:rPr>
        <w:t xml:space="preserve">19. </w:t>
      </w:r>
      <w:r>
        <w:rPr>
          <w:rFonts w:hint="eastAsia" w:ascii="宋体" w:hAnsi="宋体" w:eastAsia="宋体" w:cs="宋体"/>
          <w:color w:val="auto"/>
          <w:sz w:val="21"/>
          <w:szCs w:val="21"/>
        </w:rPr>
        <w:t>冬小麦黄化突变体按其黄色程度深浅分为金黄、绿黄(黄中略带绿色)、黄绿(绿中略带黄色)三种突变体，对小麦3种黄化突变体及野生型植株(CK)孕穗期的叶绿素含量(mg/100 gFW)及叶绿素荧光动力学参数进行比较分析如下表，请回答下列问题：</w:t>
      </w:r>
    </w:p>
    <w:tbl>
      <w:tblPr>
        <w:tblStyle w:val="11"/>
        <w:tblW w:w="7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989"/>
        <w:gridCol w:w="2012"/>
        <w:gridCol w:w="126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198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叶绿素a(Chla)</w:t>
            </w:r>
          </w:p>
        </w:tc>
        <w:tc>
          <w:tcPr>
            <w:tcW w:w="2012"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叶绿素b(Chlb)</w:t>
            </w:r>
          </w:p>
        </w:tc>
        <w:tc>
          <w:tcPr>
            <w:tcW w:w="1260"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Chla/Chlb</w:t>
            </w:r>
          </w:p>
        </w:tc>
        <w:tc>
          <w:tcPr>
            <w:tcW w:w="86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qP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金黄株</w:t>
            </w:r>
          </w:p>
        </w:tc>
        <w:tc>
          <w:tcPr>
            <w:tcW w:w="198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34.2</w:t>
            </w:r>
          </w:p>
        </w:tc>
        <w:tc>
          <w:tcPr>
            <w:tcW w:w="2012"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31.3</w:t>
            </w:r>
          </w:p>
        </w:tc>
        <w:tc>
          <w:tcPr>
            <w:tcW w:w="1260"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1.09</w:t>
            </w:r>
          </w:p>
        </w:tc>
        <w:tc>
          <w:tcPr>
            <w:tcW w:w="86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绿黄株</w:t>
            </w:r>
          </w:p>
        </w:tc>
        <w:tc>
          <w:tcPr>
            <w:tcW w:w="198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54.4</w:t>
            </w:r>
          </w:p>
        </w:tc>
        <w:tc>
          <w:tcPr>
            <w:tcW w:w="2012"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36.0</w:t>
            </w:r>
          </w:p>
        </w:tc>
        <w:tc>
          <w:tcPr>
            <w:tcW w:w="1260"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1.51</w:t>
            </w:r>
          </w:p>
        </w:tc>
        <w:tc>
          <w:tcPr>
            <w:tcW w:w="86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0.482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黄绿株</w:t>
            </w:r>
          </w:p>
        </w:tc>
        <w:tc>
          <w:tcPr>
            <w:tcW w:w="198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147.0</w:t>
            </w:r>
          </w:p>
        </w:tc>
        <w:tc>
          <w:tcPr>
            <w:tcW w:w="2012"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74.0</w:t>
            </w:r>
          </w:p>
        </w:tc>
        <w:tc>
          <w:tcPr>
            <w:tcW w:w="1260"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1.99</w:t>
            </w:r>
          </w:p>
        </w:tc>
        <w:tc>
          <w:tcPr>
            <w:tcW w:w="86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0.681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野生型植株</w:t>
            </w:r>
          </w:p>
        </w:tc>
        <w:tc>
          <w:tcPr>
            <w:tcW w:w="198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260.0</w:t>
            </w:r>
          </w:p>
        </w:tc>
        <w:tc>
          <w:tcPr>
            <w:tcW w:w="2012"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118.0</w:t>
            </w:r>
          </w:p>
        </w:tc>
        <w:tc>
          <w:tcPr>
            <w:tcW w:w="1260"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2.20</w:t>
            </w:r>
          </w:p>
        </w:tc>
        <w:tc>
          <w:tcPr>
            <w:tcW w:w="869"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0.695</w:t>
            </w:r>
          </w:p>
        </w:tc>
      </w:tr>
    </w:tbl>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 叶绿素含量的测定：将称重后的叶片加入无水乙醇浸提，浸提环境条件设置低温、黑暗的目的是______________________________。48 h后取________，可通过测定其对________光的吸收率来测量叶绿素含量，依据是叶绿素对该波长光的吸收率较高，且__________________________________________。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 据表分析，与野生型植株相比，三种不同黄化程度的突变体Chla/Chlb比值均降低，且表现出____________________的特点。基因突变导致叶绿素含量下降，推测基因可通过______________控制生物性状。研究发现，阳生植物叶绿素a/b的比值比阴生植物高，表明阴生植物可通过增加____________________来捕获光能。</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 在弱光条件下，植物一方面通过叶片运动，改变叶片平面与入射光的角度，另一方面通过移动叶绿体，__________________，促进光合作用的进行。</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 光化学淬灭(qP)数值大小反映的是光系统吸收的光能转化为化学能的份额。金黄株、绿黄株qP数值均显著低于野生型植株，可能是由于________________________________________________________________________。</w:t>
      </w:r>
    </w:p>
    <w:p>
      <w:pPr>
        <w:spacing w:line="276" w:lineRule="auto"/>
        <w:jc w:val="left"/>
        <w:textAlignment w:val="center"/>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导思1</w:t>
      </w: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lang w:eastAsia="zh-CN"/>
        </w:rPr>
        <w:t>光呼吸</w:t>
      </w:r>
      <w:r>
        <w:rPr>
          <w:rFonts w:hint="eastAsia" w:ascii="宋体" w:hAnsi="宋体" w:eastAsia="宋体" w:cs="宋体"/>
          <w:color w:val="auto"/>
          <w:kern w:val="0"/>
          <w:sz w:val="21"/>
          <w:szCs w:val="21"/>
        </w:rPr>
        <w:t>反应场所和产物分别是？</w:t>
      </w:r>
    </w:p>
    <w:p>
      <w:pPr>
        <w:spacing w:line="276" w:lineRule="auto"/>
        <w:ind w:firstLine="840" w:firstLineChars="400"/>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r>
        <w:rPr>
          <w:rFonts w:hint="eastAsia" w:ascii="宋体" w:hAnsi="宋体" w:eastAsia="宋体" w:cs="宋体"/>
          <w:color w:val="auto"/>
          <w:kern w:val="2"/>
          <w:sz w:val="21"/>
          <w:szCs w:val="21"/>
          <w:lang w:val="en-US" w:eastAsia="zh-CN" w:bidi="ar-SA"/>
        </w:rPr>
        <w:t>NADPH产生的场所及功能是</w:t>
      </w:r>
      <w:r>
        <w:rPr>
          <w:rFonts w:hint="eastAsia" w:ascii="宋体" w:hAnsi="宋体" w:eastAsia="宋体" w:cs="宋体"/>
          <w:color w:val="auto"/>
          <w:kern w:val="0"/>
          <w:sz w:val="21"/>
          <w:szCs w:val="21"/>
        </w:rPr>
        <w:t>？</w:t>
      </w:r>
    </w:p>
    <w:p>
      <w:pPr>
        <w:spacing w:line="276" w:lineRule="auto"/>
        <w:ind w:firstLine="840" w:firstLineChars="4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图中电子传递链发生的场所</w:t>
      </w:r>
      <w:r>
        <w:rPr>
          <w:rFonts w:hint="eastAsia" w:ascii="宋体" w:hAnsi="宋体" w:eastAsia="宋体" w:cs="宋体"/>
          <w:color w:val="auto"/>
          <w:sz w:val="21"/>
          <w:szCs w:val="21"/>
        </w:rPr>
        <w:t>？</w:t>
      </w:r>
    </w:p>
    <w:p>
      <w:pPr>
        <w:spacing w:line="276" w:lineRule="auto"/>
        <w:jc w:val="left"/>
        <w:textAlignment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*（学生讲评）导练1：光合呼吸的相关知识</w:t>
      </w:r>
    </w:p>
    <w:p>
      <w:pPr>
        <w:pStyle w:val="6"/>
        <w:rPr>
          <w:rFonts w:hint="eastAsia" w:ascii="宋体" w:hAnsi="宋体" w:eastAsia="宋体" w:cs="宋体"/>
          <w:color w:val="auto"/>
          <w:sz w:val="21"/>
          <w:szCs w:val="21"/>
        </w:rPr>
      </w:pPr>
      <w:r>
        <w:rPr>
          <w:rFonts w:hint="eastAsia" w:ascii="宋体" w:hAnsi="宋体" w:eastAsia="宋体" w:cs="宋体"/>
          <w:b/>
          <w:bCs/>
          <w:color w:val="auto"/>
          <w:kern w:val="0"/>
          <w:sz w:val="21"/>
          <w:szCs w:val="21"/>
        </w:rPr>
        <w:t>例题1</w:t>
      </w:r>
      <w:r>
        <w:rPr>
          <w:rFonts w:hint="eastAsia" w:ascii="宋体" w:hAnsi="宋体" w:eastAsia="宋体" w:cs="宋体"/>
          <w:color w:val="auto"/>
          <w:kern w:val="0"/>
          <w:sz w:val="21"/>
          <w:szCs w:val="21"/>
        </w:rPr>
        <w:t>：</w:t>
      </w:r>
      <w:r>
        <w:rPr>
          <w:rFonts w:hint="eastAsia" w:ascii="宋体" w:hAnsi="宋体" w:eastAsia="宋体" w:cs="宋体"/>
          <w:color w:val="auto"/>
          <w:sz w:val="21"/>
          <w:szCs w:val="21"/>
        </w:rPr>
        <w:t>黑藻是一种常见的沉水植物，下图表示低浓度CO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条件下黑藻细胞部分代谢过程。图中Rubisco是光合作用的关键酶之一，CO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和O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竞争与其结合，分别催化C</w:t>
      </w:r>
      <w:r>
        <w:rPr>
          <w:rFonts w:hint="eastAsia" w:ascii="宋体" w:hAnsi="宋体" w:eastAsia="宋体" w:cs="宋体"/>
          <w:color w:val="auto"/>
          <w:sz w:val="21"/>
          <w:szCs w:val="21"/>
          <w:vertAlign w:val="subscript"/>
        </w:rPr>
        <w:t>5</w:t>
      </w:r>
      <w:r>
        <w:rPr>
          <w:rFonts w:hint="eastAsia" w:ascii="宋体" w:hAnsi="宋体" w:eastAsia="宋体" w:cs="宋体"/>
          <w:color w:val="auto"/>
          <w:sz w:val="21"/>
          <w:szCs w:val="21"/>
        </w:rPr>
        <w:t>的羧化与氧化。</w:t>
      </w:r>
    </w:p>
    <w:p>
      <w:pPr>
        <w:pStyle w:val="6"/>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2371725" cy="1943100"/>
            <wp:effectExtent l="0" t="0" r="952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 r:link="rId7"/>
                    <a:stretch>
                      <a:fillRect/>
                    </a:stretch>
                  </pic:blipFill>
                  <pic:spPr>
                    <a:xfrm>
                      <a:off x="0" y="0"/>
                      <a:ext cx="2371725" cy="1943100"/>
                    </a:xfrm>
                    <a:prstGeom prst="rect">
                      <a:avLst/>
                    </a:prstGeom>
                    <a:noFill/>
                    <a:ln>
                      <a:noFill/>
                    </a:ln>
                  </pic:spPr>
                </pic:pic>
              </a:graphicData>
            </a:graphic>
          </wp:inline>
        </w:drawing>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C</w:t>
      </w:r>
      <w:r>
        <w:rPr>
          <w:rFonts w:hint="eastAsia" w:ascii="宋体" w:hAnsi="宋体" w:eastAsia="宋体" w:cs="宋体"/>
          <w:color w:val="auto"/>
          <w:sz w:val="21"/>
          <w:szCs w:val="21"/>
          <w:vertAlign w:val="subscript"/>
        </w:rPr>
        <w:t>5</w:t>
      </w:r>
      <w:r>
        <w:rPr>
          <w:rFonts w:hint="eastAsia" w:ascii="宋体" w:hAnsi="宋体" w:eastAsia="宋体" w:cs="宋体"/>
          <w:color w:val="auto"/>
          <w:sz w:val="21"/>
          <w:szCs w:val="21"/>
        </w:rPr>
        <w:t>羧化固定CO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合成糖；C</w:t>
      </w:r>
      <w:r>
        <w:rPr>
          <w:rFonts w:hint="eastAsia" w:ascii="宋体" w:hAnsi="宋体" w:eastAsia="宋体" w:cs="宋体"/>
          <w:color w:val="auto"/>
          <w:sz w:val="21"/>
          <w:szCs w:val="21"/>
          <w:vertAlign w:val="subscript"/>
        </w:rPr>
        <w:t>5</w:t>
      </w:r>
      <w:r>
        <w:rPr>
          <w:rFonts w:hint="eastAsia" w:ascii="宋体" w:hAnsi="宋体" w:eastAsia="宋体" w:cs="宋体"/>
          <w:color w:val="auto"/>
          <w:sz w:val="21"/>
          <w:szCs w:val="21"/>
        </w:rPr>
        <w:t>氧化则产生乙醇酸(C</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)。请回答下列问题：</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 该细胞中固定CO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的场所有______________，过程②还需要______________的参与。</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 图中黑藻细胞通过____________的方式将H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运出细胞，主要目的是有利于____________。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 低浓度CO</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条件下黑藻细胞C</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rPr>
        <w:t>循环加快，其意义是________________________________________________________________________。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 为修复城市污染水体，科研人员研究了黑藻、苦草、小眼子菜三种沉水植物的光合特性与分布水深的关系，实验结果见下表。</w:t>
      </w:r>
    </w:p>
    <w:p>
      <w:pPr>
        <w:pStyle w:val="6"/>
        <w:ind w:firstLine="420" w:firstLineChars="200"/>
        <w:rPr>
          <w:rFonts w:hint="eastAsia" w:ascii="宋体" w:hAnsi="宋体" w:eastAsia="宋体" w:cs="宋体"/>
          <w:color w:val="auto"/>
          <w:sz w:val="21"/>
          <w:szCs w:val="21"/>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668"/>
        <w:gridCol w:w="2393"/>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jc w:val="center"/>
              <w:rPr>
                <w:rFonts w:hint="eastAsia" w:ascii="宋体" w:hAnsi="宋体" w:eastAsia="宋体" w:cs="宋体"/>
                <w:color w:val="auto"/>
                <w:sz w:val="21"/>
                <w:szCs w:val="21"/>
              </w:rPr>
            </w:pPr>
          </w:p>
        </w:tc>
        <w:tc>
          <w:tcPr>
            <w:tcW w:w="1668"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分布的水深/m</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光补偿点μE/(m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·s)</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光饱和点μE/(m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黑藻</w:t>
            </w:r>
          </w:p>
        </w:tc>
        <w:tc>
          <w:tcPr>
            <w:tcW w:w="1668"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0.6～5</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17.3</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苦草</w:t>
            </w:r>
          </w:p>
        </w:tc>
        <w:tc>
          <w:tcPr>
            <w:tcW w:w="1668"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0.5～6</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6.3</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小眼子菜</w:t>
            </w:r>
          </w:p>
        </w:tc>
        <w:tc>
          <w:tcPr>
            <w:tcW w:w="1668"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50.3</w:t>
            </w:r>
          </w:p>
        </w:tc>
        <w:tc>
          <w:tcPr>
            <w:tcW w:w="2393" w:type="dxa"/>
            <w:shd w:val="clear" w:color="auto" w:fill="auto"/>
            <w:vAlign w:val="center"/>
          </w:tcPr>
          <w:p>
            <w:pPr>
              <w:pStyle w:val="6"/>
              <w:jc w:val="center"/>
              <w:rPr>
                <w:rFonts w:hint="eastAsia" w:ascii="宋体" w:hAnsi="宋体" w:eastAsia="宋体" w:cs="宋体"/>
                <w:color w:val="auto"/>
                <w:sz w:val="21"/>
                <w:szCs w:val="21"/>
              </w:rPr>
            </w:pPr>
            <w:r>
              <w:rPr>
                <w:rFonts w:hint="eastAsia" w:ascii="宋体" w:hAnsi="宋体" w:eastAsia="宋体" w:cs="宋体"/>
                <w:color w:val="auto"/>
                <w:sz w:val="21"/>
                <w:szCs w:val="21"/>
              </w:rPr>
              <w:t>214.7</w:t>
            </w:r>
          </w:p>
        </w:tc>
      </w:tr>
    </w:tbl>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① 测定光饱和点、光补偿点时，应控制______________等外界因素相同且适宜，逐渐增加____________并测量对应的净光合速率，绘制叶片的光合—光响应曲线。</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② 三种沉水植物能够生长的最大深度与光饱和点和光补偿点呈____________相关。小眼子菜一般分布在水体的上层，从光补偿点和光饱和点的角度分析原因分别是______________。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③ 建议选择____________________作为先锋物种来修复城市污染水体。</w:t>
      </w:r>
    </w:p>
    <w:p>
      <w:pPr>
        <w:pStyle w:val="6"/>
        <w:rPr>
          <w:rFonts w:hint="eastAsia" w:ascii="宋体" w:hAnsi="宋体" w:eastAsia="宋体" w:cs="宋体"/>
          <w:color w:val="auto"/>
          <w:sz w:val="21"/>
          <w:szCs w:val="21"/>
        </w:rPr>
      </w:pPr>
      <w:r>
        <w:rPr>
          <w:rFonts w:hint="eastAsia" w:ascii="宋体" w:hAnsi="宋体" w:eastAsia="宋体" w:cs="宋体"/>
          <w:b/>
          <w:color w:val="auto"/>
          <w:sz w:val="21"/>
          <w:szCs w:val="21"/>
        </w:rPr>
        <w:t>导读2：</w:t>
      </w:r>
      <w:r>
        <w:rPr>
          <w:rFonts w:hint="eastAsia" w:ascii="宋体" w:hAnsi="宋体" w:eastAsia="宋体" w:cs="宋体"/>
          <w:color w:val="auto"/>
          <w:kern w:val="2"/>
          <w:sz w:val="21"/>
          <w:szCs w:val="21"/>
          <w:lang w:val="en-US" w:eastAsia="zh-CN" w:bidi="ar-SA"/>
        </w:rPr>
        <w:t xml:space="preserve">22. </w:t>
      </w:r>
      <w:r>
        <w:rPr>
          <w:rFonts w:hint="eastAsia" w:ascii="宋体" w:hAnsi="宋体" w:eastAsia="宋体" w:cs="宋体"/>
          <w:color w:val="auto"/>
          <w:sz w:val="21"/>
          <w:szCs w:val="21"/>
        </w:rPr>
        <w:t>统计发现，长期食用富含果糖的食物似乎跟癌症的发展存在某种关联。科学家用黑色素瘤模型小鼠对果糖与癌症发展机制进行了探索。请回答下列问题：</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 正常情况下，黑色素瘤细胞会刺激小鼠体内的____________________和细胞免疫，最终清除黑色素瘤细胞，这体现了免疫系统的________功能。</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 为完成上述探索，科学家给对照组小鼠饲喂普通饲料，实验组饲喂____________的饲料，相同且适宜的条件下培养一段时间进行相关检测，结果如下图所示，实验结果表明________________。研究人员向培养有癌细胞的培养基中添加了不少果糖，结果发现癌细胞的生长速度与对照组无明显差异，由此说明____________________________。</w:t>
      </w:r>
    </w:p>
    <w:p>
      <w:pPr>
        <w:pStyle w:val="6"/>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677670" cy="1280160"/>
            <wp:effectExtent l="0" t="0" r="17780"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a:stretch>
                      <a:fillRect/>
                    </a:stretch>
                  </pic:blipFill>
                  <pic:spPr>
                    <a:xfrm>
                      <a:off x="0" y="0"/>
                      <a:ext cx="1677670" cy="1280160"/>
                    </a:xfrm>
                    <a:prstGeom prst="rect">
                      <a:avLst/>
                    </a:prstGeom>
                    <a:noFill/>
                    <a:ln>
                      <a:noFill/>
                    </a:ln>
                  </pic:spPr>
                </pic:pic>
              </a:graphicData>
            </a:graphic>
          </wp:inline>
        </w:drawing>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 进一步研究发现，肝细胞中的酶(KHKC)可将果糖转化成多种脂质分子，包括溶血磷脂酰胆碱(LPC，一种肿瘤可利用的营养物质)。由此推测过量果糖促进肿瘤生长的机理可能是________________________________________________________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 为进一步验证上述推测，科学家用黑色素瘤模型小鼠设计了以下实验：</w:t>
      </w:r>
    </w:p>
    <w:p>
      <w:pPr>
        <w:pStyle w:val="6"/>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3172460" cy="2178685"/>
            <wp:effectExtent l="0" t="0" r="889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r:link="rId11"/>
                    <a:stretch>
                      <a:fillRect/>
                    </a:stretch>
                  </pic:blipFill>
                  <pic:spPr>
                    <a:xfrm>
                      <a:off x="0" y="0"/>
                      <a:ext cx="3172460" cy="2178685"/>
                    </a:xfrm>
                    <a:prstGeom prst="rect">
                      <a:avLst/>
                    </a:prstGeom>
                    <a:noFill/>
                    <a:ln>
                      <a:noFill/>
                    </a:ln>
                  </pic:spPr>
                </pic:pic>
              </a:graphicData>
            </a:graphic>
          </wp:inline>
        </w:drawing>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ⅰ. 实验组1注射药物①抑制黑色素瘤模型小鼠肝脏中________，饲喂____________。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ⅱ. 实验组2给黑色素瘤模型小鼠注射____________，饲喂________________。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若实验结果为_______________________________________________________，则证明上述推测成立。</w:t>
      </w:r>
    </w:p>
    <w:p>
      <w:pPr>
        <w:spacing w:line="276" w:lineRule="auto"/>
        <w:jc w:val="left"/>
        <w:textAlignment w:val="center"/>
        <w:rPr>
          <w:rFonts w:hint="eastAsia" w:ascii="宋体" w:hAnsi="宋体" w:eastAsia="宋体" w:cs="宋体"/>
          <w:color w:val="auto"/>
          <w:kern w:val="0"/>
          <w:sz w:val="21"/>
          <w:szCs w:val="21"/>
        </w:rPr>
      </w:pPr>
      <w:r>
        <w:rPr>
          <w:rFonts w:hint="eastAsia" w:ascii="宋体" w:hAnsi="宋体" w:eastAsia="宋体" w:cs="宋体"/>
          <w:b/>
          <w:color w:val="auto"/>
          <w:sz w:val="21"/>
          <w:szCs w:val="21"/>
        </w:rPr>
        <w:t>导思2：</w:t>
      </w: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lang w:eastAsia="zh-CN"/>
        </w:rPr>
        <w:t>反射弧的组成及判断</w:t>
      </w:r>
      <w:r>
        <w:rPr>
          <w:rFonts w:hint="eastAsia" w:ascii="宋体" w:hAnsi="宋体" w:eastAsia="宋体" w:cs="宋体"/>
          <w:color w:val="auto"/>
          <w:kern w:val="0"/>
          <w:sz w:val="21"/>
          <w:szCs w:val="21"/>
        </w:rPr>
        <w:t>？</w:t>
      </w:r>
    </w:p>
    <w:p>
      <w:pPr>
        <w:spacing w:line="276" w:lineRule="auto"/>
        <w:ind w:firstLine="840" w:firstLineChars="400"/>
        <w:jc w:val="left"/>
        <w:textAlignment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r>
        <w:rPr>
          <w:rFonts w:hint="eastAsia" w:ascii="宋体" w:hAnsi="宋体" w:eastAsia="宋体" w:cs="宋体"/>
          <w:color w:val="auto"/>
          <w:kern w:val="0"/>
          <w:sz w:val="21"/>
          <w:szCs w:val="21"/>
          <w:lang w:eastAsia="zh-CN"/>
        </w:rPr>
        <w:t>受体分布的场所，请举例说明</w:t>
      </w:r>
      <w:r>
        <w:rPr>
          <w:rFonts w:hint="eastAsia" w:ascii="宋体" w:hAnsi="宋体" w:eastAsia="宋体" w:cs="宋体"/>
          <w:color w:val="auto"/>
          <w:kern w:val="0"/>
          <w:sz w:val="21"/>
          <w:szCs w:val="21"/>
        </w:rPr>
        <w:t>？</w:t>
      </w:r>
    </w:p>
    <w:p>
      <w:pPr>
        <w:spacing w:line="276" w:lineRule="auto"/>
        <w:rPr>
          <w:rFonts w:hint="eastAsia" w:ascii="宋体" w:hAnsi="宋体" w:eastAsia="宋体" w:cs="宋体"/>
          <w:b/>
          <w:color w:val="auto"/>
          <w:sz w:val="21"/>
          <w:szCs w:val="21"/>
        </w:rPr>
      </w:pPr>
      <w:r>
        <w:rPr>
          <w:rFonts w:hint="eastAsia" w:ascii="宋体" w:hAnsi="宋体" w:eastAsia="宋体" w:cs="宋体"/>
          <w:b/>
          <w:color w:val="auto"/>
          <w:sz w:val="21"/>
          <w:szCs w:val="21"/>
        </w:rPr>
        <w:t>导练2：</w:t>
      </w:r>
      <w:r>
        <w:rPr>
          <w:rFonts w:hint="eastAsia" w:ascii="宋体" w:hAnsi="宋体" w:eastAsia="宋体" w:cs="宋体"/>
          <w:b/>
          <w:color w:val="auto"/>
          <w:sz w:val="21"/>
          <w:szCs w:val="21"/>
          <w:lang w:eastAsia="zh-CN"/>
        </w:rPr>
        <w:t>体液调节</w:t>
      </w:r>
      <w:r>
        <w:rPr>
          <w:rFonts w:hint="eastAsia" w:ascii="宋体" w:hAnsi="宋体" w:eastAsia="宋体" w:cs="宋体"/>
          <w:b/>
          <w:color w:val="auto"/>
          <w:sz w:val="21"/>
          <w:szCs w:val="21"/>
        </w:rPr>
        <w:t>的相关内容</w:t>
      </w:r>
    </w:p>
    <w:p>
      <w:pPr>
        <w:pStyle w:val="6"/>
        <w:rPr>
          <w:rFonts w:hint="eastAsia" w:ascii="宋体" w:hAnsi="宋体" w:eastAsia="宋体" w:cs="宋体"/>
          <w:color w:val="auto"/>
          <w:sz w:val="21"/>
          <w:szCs w:val="21"/>
        </w:rPr>
      </w:pPr>
      <w:r>
        <w:rPr>
          <w:rFonts w:hint="eastAsia" w:ascii="宋体" w:hAnsi="宋体" w:eastAsia="宋体" w:cs="宋体"/>
          <w:b/>
          <w:bCs/>
          <w:color w:val="auto"/>
          <w:kern w:val="0"/>
          <w:sz w:val="21"/>
          <w:szCs w:val="21"/>
        </w:rPr>
        <w:t>*（学生讲评）</w:t>
      </w:r>
      <w:r>
        <w:rPr>
          <w:rFonts w:hint="eastAsia" w:ascii="宋体" w:hAnsi="宋体" w:eastAsia="宋体" w:cs="宋体"/>
          <w:b/>
          <w:color w:val="auto"/>
          <w:sz w:val="21"/>
          <w:szCs w:val="21"/>
        </w:rPr>
        <w:t>例题2:</w:t>
      </w:r>
      <w:r>
        <w:rPr>
          <w:rFonts w:hint="eastAsia" w:ascii="宋体" w:hAnsi="宋体" w:eastAsia="宋体" w:cs="宋体"/>
          <w:color w:val="auto"/>
          <w:sz w:val="21"/>
          <w:szCs w:val="21"/>
        </w:rPr>
        <w:t>5．阿霉素(DOX)为常用抗肿瘤药物，但可引发心脏过度兴奋导致心脏损伤，甚至可致心力衰竭。研究发现神经电刺激装置(tVNS)刺激耳迷走神经能显著改善心脏损伤，同时对肿瘤还有一定的影响，相关机制见图1。请回答下列问题：</w:t>
      </w:r>
    </w:p>
    <w:p>
      <w:pPr>
        <w:pStyle w:val="6"/>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457700" cy="1981200"/>
            <wp:effectExtent l="0" t="0" r="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2" r:link="rId13"/>
                    <a:stretch>
                      <a:fillRect/>
                    </a:stretch>
                  </pic:blipFill>
                  <pic:spPr>
                    <a:xfrm>
                      <a:off x="0" y="0"/>
                      <a:ext cx="4457700" cy="1981200"/>
                    </a:xfrm>
                    <a:prstGeom prst="rect">
                      <a:avLst/>
                    </a:prstGeom>
                    <a:noFill/>
                    <a:ln>
                      <a:noFill/>
                    </a:ln>
                  </pic:spPr>
                </pic:pic>
              </a:graphicData>
            </a:graphic>
          </wp:inline>
        </w:drawing>
      </w:r>
      <w:r>
        <w:rPr>
          <w:rFonts w:hint="eastAsia" w:ascii="宋体" w:hAnsi="宋体" w:eastAsia="宋体" w:cs="宋体"/>
          <w:color w:val="auto"/>
          <w:sz w:val="21"/>
          <w:szCs w:val="21"/>
        </w:rPr>
        <w:t>图1</w:t>
      </w:r>
    </w:p>
    <w:p>
      <w:pPr>
        <w:pStyle w:val="6"/>
        <w:ind w:firstLine="420" w:firstLineChars="200"/>
        <w:rPr>
          <w:rFonts w:hint="eastAsia" w:ascii="宋体" w:hAnsi="宋体" w:eastAsia="宋体" w:cs="宋体"/>
          <w:color w:val="auto"/>
          <w:sz w:val="21"/>
          <w:szCs w:val="21"/>
        </w:rPr>
      </w:pP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 心脏功能的基本活动中枢位于____________。DOX可能刺激心跳加快，__________神经活动占优势，与这一过程直接相关的激素主要是____________________。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 tVNS刺激耳迷走神经会使得副交感神经末梢释放________________，其与心肌细胞膜上的受体结合后引发信号转导，引起K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外流，使心肌____________(填“去极化”或“超极化”)，心跳减慢，从而改善DOX引发的心脏过度兴奋。</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 图中细胞2是________________，功能是________________________________________________________________________。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 细胞3除了增殖分化为细胞4外还增殖分化为__________，物质A是__________。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 科研人员将荷瘤小鼠分为四组，分别为对照组、tVNS组(仅刺激耳迷走神经)、DOX处理组(仅阿霉素处理)、tVNS＋DOX处理组(刺激耳迷走神经和阿霉素联合处理)，实验结果见图2、3。已知INFγ是一种蛋白质，能上调细胞2上MHCⅠ类分子数量，同时能抑制肿瘤中血管的生成。</w:t>
      </w:r>
    </w:p>
    <w:p>
      <w:pPr>
        <w:pStyle w:val="6"/>
        <w:ind w:firstLine="420" w:firstLineChars="20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2819400" cy="1828800"/>
            <wp:effectExtent l="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4" r:link="rId15"/>
                    <a:stretch>
                      <a:fillRect/>
                    </a:stretch>
                  </pic:blipFill>
                  <pic:spPr>
                    <a:xfrm>
                      <a:off x="0" y="0"/>
                      <a:ext cx="2819400" cy="1828800"/>
                    </a:xfrm>
                    <a:prstGeom prst="rect">
                      <a:avLst/>
                    </a:prstGeom>
                    <a:noFill/>
                    <a:ln>
                      <a:noFill/>
                    </a:ln>
                  </pic:spPr>
                </pic:pic>
              </a:graphicData>
            </a:graphic>
          </wp:inline>
        </w:drawing>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① 根据图2可以得出的结论是________________________________________________________________________。</w:t>
      </w:r>
    </w:p>
    <w:p>
      <w:pPr>
        <w:pStyle w:val="6"/>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② 刺激耳迷走神经和阿霉素联合处理促进了INFγ的表达，______________________________________________________，从而抑制肿瘤生长。</w:t>
      </w:r>
    </w:p>
    <w:p>
      <w:pPr>
        <w:keepNext w:val="0"/>
        <w:keepLines w:val="0"/>
        <w:pageBreakBefore w:val="0"/>
        <w:widowControl w:val="0"/>
        <w:shd w:val="clear" w:color="auto" w:fill="FFFFFF"/>
        <w:kinsoku/>
        <w:wordWrap/>
        <w:overflowPunct/>
        <w:topLinePunct w:val="0"/>
        <w:autoSpaceDE/>
        <w:autoSpaceDN/>
        <w:bidi w:val="0"/>
        <w:adjustRightInd/>
        <w:snapToGrid w:val="0"/>
        <w:spacing w:line="240" w:lineRule="auto"/>
        <w:jc w:val="left"/>
        <w:textAlignment w:val="center"/>
        <w:rPr>
          <w:rFonts w:hint="eastAsia" w:ascii="宋体" w:hAnsi="宋体" w:eastAsia="宋体" w:cs="宋体"/>
          <w:color w:val="auto"/>
          <w:sz w:val="21"/>
          <w:szCs w:val="21"/>
        </w:rPr>
      </w:pPr>
    </w:p>
    <w:p>
      <w:pPr>
        <w:pStyle w:val="6"/>
        <w:widowControl w:val="0"/>
        <w:spacing w:line="276" w:lineRule="auto"/>
        <w:ind w:right="17"/>
        <w:rPr>
          <w:rFonts w:hAnsi="宋体" w:cs="宋体"/>
          <w:color w:val="auto"/>
          <w:sz w:val="21"/>
          <w:szCs w:val="21"/>
        </w:rPr>
      </w:pPr>
      <w:r>
        <w:rPr>
          <w:rFonts w:hint="eastAsia" w:hAnsi="宋体" w:cs="宋体"/>
          <w:color w:val="auto"/>
          <w:sz w:val="21"/>
          <w:szCs w:val="21"/>
        </w:rPr>
        <w:t>【课后反思】</w:t>
      </w:r>
    </w:p>
    <w:p>
      <w:pPr>
        <w:spacing w:line="276" w:lineRule="auto"/>
        <w:rPr>
          <w:rFonts w:ascii="宋体" w:hAnsi="宋体" w:cs="宋体"/>
          <w:color w:val="auto"/>
          <w:szCs w:val="21"/>
          <w:u w:val="single"/>
        </w:rPr>
      </w:pPr>
      <w:r>
        <w:rPr>
          <w:rFonts w:hint="eastAsia" w:ascii="宋体" w:hAnsi="宋体" w:cs="宋体"/>
          <w:color w:val="auto"/>
          <w:szCs w:val="21"/>
          <w:u w:val="single"/>
        </w:rPr>
        <w:t xml:space="preserve">                                                                                                </w:t>
      </w:r>
    </w:p>
    <w:p>
      <w:pPr>
        <w:spacing w:line="276" w:lineRule="auto"/>
        <w:jc w:val="left"/>
        <w:rPr>
          <w:rFonts w:ascii="宋体" w:hAnsi="宋体" w:cs="宋体"/>
          <w:color w:val="auto"/>
          <w:szCs w:val="21"/>
          <w:u w:val="single"/>
        </w:rPr>
      </w:pPr>
      <w:r>
        <w:rPr>
          <w:rFonts w:hint="eastAsia" w:ascii="宋体" w:hAnsi="宋体" w:cs="宋体"/>
          <w:color w:val="auto"/>
          <w:szCs w:val="21"/>
          <w:u w:val="single"/>
        </w:rPr>
        <w:t xml:space="preserve">                                                                                                                                                                                        </w:t>
      </w:r>
    </w:p>
    <w:p>
      <w:pPr>
        <w:keepNext w:val="0"/>
        <w:keepLines w:val="0"/>
        <w:pageBreakBefore w:val="0"/>
        <w:widowControl w:val="0"/>
        <w:kinsoku/>
        <w:wordWrap/>
        <w:overflowPunct/>
        <w:topLinePunct w:val="0"/>
        <w:autoSpaceDE/>
        <w:autoSpaceDN/>
        <w:bidi w:val="0"/>
        <w:adjustRightInd/>
        <w:spacing w:line="288" w:lineRule="auto"/>
        <w:jc w:val="center"/>
        <w:rPr>
          <w:rFonts w:hint="eastAsia" w:ascii="黑体" w:hAnsi="黑体" w:eastAsia="黑体" w:cs="黑体"/>
          <w:b/>
          <w:color w:val="auto"/>
          <w:sz w:val="28"/>
          <w:szCs w:val="28"/>
          <w:lang w:eastAsia="zh-CN"/>
        </w:rPr>
      </w:pPr>
      <w:r>
        <w:rPr>
          <w:rFonts w:hint="eastAsia" w:ascii="黑体" w:hAnsi="黑体" w:eastAsia="黑体" w:cs="黑体"/>
          <w:b/>
          <w:color w:val="auto"/>
          <w:sz w:val="28"/>
          <w:szCs w:val="28"/>
        </w:rPr>
        <w:t>江苏省仪征中学202</w:t>
      </w:r>
      <w:r>
        <w:rPr>
          <w:rFonts w:hint="eastAsia" w:ascii="黑体" w:hAnsi="黑体" w:eastAsia="黑体" w:cs="黑体"/>
          <w:b/>
          <w:color w:val="auto"/>
          <w:sz w:val="28"/>
          <w:szCs w:val="28"/>
          <w:lang w:val="en-US" w:eastAsia="zh-CN"/>
        </w:rPr>
        <w:t>4</w:t>
      </w:r>
      <w:r>
        <w:rPr>
          <w:rFonts w:hint="eastAsia" w:ascii="黑体" w:hAnsi="黑体" w:eastAsia="黑体" w:cs="黑体"/>
          <w:b/>
          <w:color w:val="auto"/>
          <w:sz w:val="28"/>
          <w:szCs w:val="28"/>
        </w:rPr>
        <w:t>-20</w:t>
      </w:r>
      <w:r>
        <w:rPr>
          <w:rFonts w:hint="eastAsia" w:ascii="黑体" w:hAnsi="黑体" w:eastAsia="黑体" w:cs="黑体"/>
          <w:b/>
          <w:color w:val="auto"/>
          <w:sz w:val="28"/>
          <w:szCs w:val="28"/>
          <w:lang w:val="en-US" w:eastAsia="zh-CN"/>
        </w:rPr>
        <w:t>25</w:t>
      </w:r>
      <w:r>
        <w:rPr>
          <w:rFonts w:hint="eastAsia" w:ascii="黑体" w:hAnsi="黑体" w:eastAsia="黑体" w:cs="黑体"/>
          <w:b/>
          <w:color w:val="auto"/>
          <w:sz w:val="28"/>
          <w:szCs w:val="28"/>
        </w:rPr>
        <w:t>学年度第</w:t>
      </w:r>
      <w:r>
        <w:rPr>
          <w:rFonts w:hint="eastAsia" w:ascii="黑体" w:hAnsi="黑体" w:eastAsia="黑体" w:cs="黑体"/>
          <w:b/>
          <w:color w:val="auto"/>
          <w:sz w:val="28"/>
          <w:szCs w:val="28"/>
          <w:lang w:val="en-US" w:eastAsia="zh-CN"/>
        </w:rPr>
        <w:t>二</w:t>
      </w:r>
      <w:r>
        <w:rPr>
          <w:rFonts w:hint="eastAsia" w:ascii="黑体" w:hAnsi="黑体" w:eastAsia="黑体" w:cs="黑体"/>
          <w:b/>
          <w:color w:val="auto"/>
          <w:sz w:val="28"/>
          <w:szCs w:val="28"/>
        </w:rPr>
        <w:t>学期高</w:t>
      </w:r>
      <w:r>
        <w:rPr>
          <w:rFonts w:hint="eastAsia" w:ascii="黑体" w:hAnsi="黑体" w:eastAsia="黑体" w:cs="黑体"/>
          <w:b/>
          <w:color w:val="auto"/>
          <w:sz w:val="28"/>
          <w:szCs w:val="28"/>
          <w:lang w:val="en-US" w:eastAsia="zh-CN"/>
        </w:rPr>
        <w:t>三</w:t>
      </w:r>
      <w:r>
        <w:rPr>
          <w:rFonts w:hint="eastAsia" w:ascii="黑体" w:hAnsi="黑体" w:eastAsia="黑体" w:cs="黑体"/>
          <w:b/>
          <w:color w:val="auto"/>
          <w:sz w:val="28"/>
          <w:szCs w:val="28"/>
        </w:rPr>
        <w:t>生物学科</w:t>
      </w:r>
      <w:r>
        <w:rPr>
          <w:rFonts w:hint="eastAsia" w:ascii="黑体" w:hAnsi="黑体" w:eastAsia="黑体" w:cs="黑体"/>
          <w:b/>
          <w:color w:val="auto"/>
          <w:sz w:val="28"/>
          <w:szCs w:val="28"/>
          <w:lang w:eastAsia="zh-CN"/>
        </w:rPr>
        <w:t>作业</w:t>
      </w:r>
    </w:p>
    <w:p>
      <w:pPr>
        <w:keepNext w:val="0"/>
        <w:keepLines w:val="0"/>
        <w:pageBreakBefore w:val="0"/>
        <w:widowControl w:val="0"/>
        <w:kinsoku/>
        <w:wordWrap/>
        <w:overflowPunct/>
        <w:topLinePunct w:val="0"/>
        <w:autoSpaceDE/>
        <w:autoSpaceDN/>
        <w:bidi w:val="0"/>
        <w:adjustRightInd/>
        <w:spacing w:line="288" w:lineRule="auto"/>
        <w:jc w:val="center"/>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高频错题变式训练（2）</w:t>
      </w:r>
    </w:p>
    <w:p>
      <w:pPr>
        <w:keepNext w:val="0"/>
        <w:keepLines w:val="0"/>
        <w:pageBreakBefore w:val="0"/>
        <w:widowControl w:val="0"/>
        <w:kinsoku/>
        <w:wordWrap/>
        <w:overflowPunct/>
        <w:topLinePunct w:val="0"/>
        <w:autoSpaceDE/>
        <w:autoSpaceDN/>
        <w:bidi w:val="0"/>
        <w:adjustRightInd/>
        <w:snapToGrid/>
        <w:spacing w:line="23" w:lineRule="atLeast"/>
        <w:jc w:val="center"/>
        <w:textAlignment w:val="auto"/>
        <w:rPr>
          <w:rFonts w:hint="eastAsia" w:ascii="楷体" w:hAnsi="楷体" w:eastAsia="楷体" w:cs="楷体"/>
          <w:bCs/>
          <w:color w:val="auto"/>
          <w:sz w:val="24"/>
          <w:lang w:eastAsia="zh-CN"/>
        </w:rPr>
      </w:pPr>
      <w:r>
        <w:rPr>
          <w:rFonts w:hint="eastAsia" w:ascii="楷体" w:hAnsi="楷体" w:eastAsia="楷体" w:cs="楷体"/>
          <w:bCs/>
          <w:color w:val="auto"/>
          <w:sz w:val="24"/>
        </w:rPr>
        <w:t>研制人：</w:t>
      </w:r>
      <w:r>
        <w:rPr>
          <w:rFonts w:hint="eastAsia" w:ascii="楷体" w:hAnsi="楷体" w:eastAsia="楷体" w:cs="楷体"/>
          <w:bCs/>
          <w:color w:val="auto"/>
          <w:sz w:val="24"/>
          <w:lang w:val="en-US" w:eastAsia="zh-CN"/>
        </w:rPr>
        <w:t>刘飞</w:t>
      </w:r>
      <w:r>
        <w:rPr>
          <w:rFonts w:hint="eastAsia" w:ascii="楷体" w:hAnsi="楷体" w:eastAsia="楷体" w:cs="楷体"/>
          <w:bCs/>
          <w:color w:val="auto"/>
          <w:sz w:val="24"/>
        </w:rPr>
        <w:t xml:space="preserve">    审核人：</w:t>
      </w:r>
      <w:r>
        <w:rPr>
          <w:rFonts w:hint="eastAsia" w:ascii="楷体" w:hAnsi="楷体" w:eastAsia="楷体" w:cs="楷体"/>
          <w:bCs/>
          <w:color w:val="auto"/>
          <w:sz w:val="24"/>
          <w:lang w:val="en-US" w:eastAsia="zh-CN"/>
        </w:rPr>
        <w:t>苏楠楠</w:t>
      </w:r>
    </w:p>
    <w:p>
      <w:pPr>
        <w:spacing w:line="276" w:lineRule="auto"/>
        <w:jc w:val="center"/>
        <w:rPr>
          <w:rFonts w:ascii="宋体" w:hAnsi="宋体" w:cs="宋体"/>
          <w:b/>
          <w:bCs/>
          <w:color w:val="auto"/>
          <w:szCs w:val="21"/>
          <w:u w:val="single"/>
        </w:rPr>
      </w:pPr>
      <w:r>
        <w:rPr>
          <w:rFonts w:hint="eastAsia" w:ascii="楷体" w:hAnsi="楷体" w:eastAsia="楷体" w:cs="楷体"/>
          <w:bCs/>
          <w:color w:val="auto"/>
          <w:sz w:val="24"/>
        </w:rPr>
        <w:t>班级：_________姓名：_________学号：________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lang w:eastAsia="zh-CN"/>
        </w:rPr>
        <w:t>时间</w:t>
      </w:r>
      <w:r>
        <w:rPr>
          <w:rFonts w:hint="eastAsia" w:ascii="楷体" w:hAnsi="楷体" w:eastAsia="楷体" w:cs="楷体"/>
          <w:bCs/>
          <w:color w:val="auto"/>
          <w:sz w:val="24"/>
        </w:rPr>
        <w:t>：</w:t>
      </w:r>
      <w:r>
        <w:rPr>
          <w:rFonts w:hint="eastAsia" w:ascii="楷体" w:hAnsi="楷体" w:eastAsia="楷体" w:cs="楷体"/>
          <w:bCs/>
          <w:color w:val="auto"/>
          <w:sz w:val="24"/>
          <w:lang w:val="en-US" w:eastAsia="zh-CN"/>
        </w:rPr>
        <w:t xml:space="preserve"> </w:t>
      </w:r>
      <w:r>
        <w:rPr>
          <w:rFonts w:hint="eastAsia" w:ascii="楷体" w:hAnsi="楷体" w:eastAsia="楷体" w:cs="楷体"/>
          <w:b w:val="0"/>
          <w:bCs w:val="0"/>
          <w:color w:val="auto"/>
          <w:sz w:val="21"/>
          <w:szCs w:val="21"/>
          <w:u w:val="single"/>
          <w:lang w:val="en-US" w:eastAsia="zh-CN"/>
        </w:rPr>
        <w:t xml:space="preserve">           </w:t>
      </w:r>
      <w:r>
        <w:rPr>
          <w:rFonts w:hint="eastAsia" w:ascii="楷体" w:hAnsi="楷体" w:eastAsia="楷体" w:cs="楷体"/>
          <w:bCs/>
          <w:color w:val="auto"/>
          <w:sz w:val="24"/>
          <w:lang w:eastAsia="zh-CN"/>
        </w:rPr>
        <w:t>作业时长：</w:t>
      </w:r>
      <w:r>
        <w:rPr>
          <w:rFonts w:hint="eastAsia" w:ascii="楷体" w:hAnsi="楷体" w:eastAsia="楷体" w:cs="楷体"/>
          <w:bCs/>
          <w:color w:val="auto"/>
          <w:sz w:val="24"/>
          <w:u w:val="single"/>
          <w:lang w:val="en-US" w:eastAsia="zh-CN"/>
        </w:rPr>
        <w:t>30分钟</w:t>
      </w:r>
    </w:p>
    <w:p>
      <w:pPr>
        <w:spacing w:line="276" w:lineRule="auto"/>
        <w:rPr>
          <w:rFonts w:ascii="宋体" w:hAnsi="宋体" w:cs="宋体"/>
          <w:b/>
          <w:bCs/>
          <w:color w:val="auto"/>
          <w:kern w:val="0"/>
          <w:szCs w:val="21"/>
        </w:rPr>
      </w:pPr>
      <w:r>
        <w:rPr>
          <w:rFonts w:hint="eastAsia" w:ascii="宋体" w:hAnsi="宋体" w:cs="宋体"/>
          <w:color w:val="auto"/>
          <w:szCs w:val="21"/>
        </w:rPr>
        <w:t>一、选择题</w:t>
      </w:r>
    </w:p>
    <w:p>
      <w:pPr>
        <w:pStyle w:val="6"/>
        <w:rPr>
          <w:rFonts w:ascii="Times New Roman" w:hAnsi="Times New Roman" w:cs="Times New Roman"/>
          <w:sz w:val="21"/>
          <w:szCs w:val="21"/>
        </w:rPr>
      </w:pPr>
      <w:r>
        <w:rPr>
          <w:rFonts w:ascii="Times New Roman" w:hAnsi="Times New Roman" w:cs="Times New Roman"/>
          <w:sz w:val="21"/>
          <w:szCs w:val="21"/>
        </w:rPr>
        <w:t>1. 一叶知深秋，微风伴茶香。下列有关茶树中元素和化合物的叙述，正确的是(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茶叶中的微量元素Mg可以参与叶绿素的构成</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液泡中的无机盐大多以化合物的形式存在，利于调节细胞的渗透压</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茶果中的核酸、脂肪、蛋白质等多聚体均以碳链为骨架</w:t>
      </w:r>
    </w:p>
    <w:p>
      <w:pPr>
        <w:pStyle w:val="6"/>
        <w:ind w:firstLine="420" w:firstLineChars="200"/>
        <w:rPr>
          <w:rFonts w:hint="eastAsia" w:ascii="Times New Roman" w:hAnsi="Times New Roman" w:cs="Times New Roman"/>
          <w:sz w:val="21"/>
          <w:szCs w:val="21"/>
        </w:rPr>
      </w:pPr>
      <w:r>
        <w:rPr>
          <w:rFonts w:ascii="Times New Roman" w:hAnsi="Times New Roman" w:cs="Times New Roman"/>
          <w:sz w:val="21"/>
          <w:szCs w:val="21"/>
        </w:rPr>
        <w:t>D. 干旱条件下，茶树细胞内结合水/</w:t>
      </w:r>
      <w:r>
        <w:rPr>
          <w:rFonts w:hint="eastAsia" w:ascii="Times New Roman" w:hAnsi="Times New Roman" w:cs="Times New Roman"/>
          <w:sz w:val="21"/>
          <w:szCs w:val="21"/>
        </w:rPr>
        <w:t>自由水的比值升高</w:t>
      </w:r>
    </w:p>
    <w:p>
      <w:pPr>
        <w:pStyle w:val="6"/>
        <w:rPr>
          <w:rFonts w:ascii="Times New Roman" w:hAnsi="Times New Roman" w:cs="Times New Roman"/>
          <w:sz w:val="21"/>
          <w:szCs w:val="21"/>
        </w:rPr>
      </w:pPr>
      <w:r>
        <w:rPr>
          <w:rFonts w:ascii="Times New Roman" w:hAnsi="Times New Roman" w:cs="Times New Roman"/>
          <w:sz w:val="21"/>
          <w:szCs w:val="21"/>
        </w:rPr>
        <w:t>2. 下列关于细胞生命历程的叙述，错误的是(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酵母菌等单细胞生物靠细胞分裂产生新的个体</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造血干细胞可分化成多种血细胞，体现了细胞的全能性</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癌细胞有端粒酶从而细胞不衰老，这一现象支持端粒学说</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D. 许多病毒感染人体后，可引起细胞坏死或细胞凋亡</w:t>
      </w:r>
    </w:p>
    <w:p>
      <w:pPr>
        <w:pStyle w:val="6"/>
        <w:rPr>
          <w:rFonts w:ascii="Times New Roman" w:hAnsi="Times New Roman" w:cs="Times New Roman"/>
          <w:sz w:val="21"/>
          <w:szCs w:val="21"/>
        </w:rPr>
      </w:pPr>
      <w:r>
        <w:rPr>
          <w:rFonts w:ascii="Times New Roman" w:hAnsi="Times New Roman" w:cs="Times New Roman"/>
          <w:sz w:val="21"/>
          <w:szCs w:val="21"/>
        </w:rPr>
        <w:t>3. 植物细胞壁分为三层，胞间层、初生壁和次生壁，其中初生壁主要由纤维素、半纤维素和果胶构成(图甲)，纤维素的合成与纤维素合酶有关(图乙)，相关叙述正确的是(　　)</w:t>
      </w:r>
    </w:p>
    <w:p>
      <w:pPr>
        <w:pStyle w:val="6"/>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397250" cy="1341755"/>
            <wp:effectExtent l="0" t="0" r="12700" b="1079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16" r:link="rId17"/>
                    <a:stretch>
                      <a:fillRect/>
                    </a:stretch>
                  </pic:blipFill>
                  <pic:spPr>
                    <a:xfrm>
                      <a:off x="0" y="0"/>
                      <a:ext cx="3397250" cy="1341755"/>
                    </a:xfrm>
                    <a:prstGeom prst="rect">
                      <a:avLst/>
                    </a:prstGeom>
                    <a:noFill/>
                    <a:ln>
                      <a:noFill/>
                    </a:ln>
                  </pic:spPr>
                </pic:pic>
              </a:graphicData>
            </a:graphic>
          </wp:inline>
        </w:drawing>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植物细胞有丝分裂末期，高尔基体合成大量纤维素</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分泌小泡为单层膜结构，与图中细胞壁的形成和细胞膜的更新有关</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由微管蛋白和纤维素构成的细胞骨架在图甲物质运输中起到重要作用</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D. 蔗糖合酶能够催化蔗糖的水解反应，其合成、加工场所与微管蛋白相同</w:t>
      </w:r>
    </w:p>
    <w:p>
      <w:pPr>
        <w:pStyle w:val="6"/>
        <w:rPr>
          <w:rFonts w:ascii="Times New Roman" w:hAnsi="Times New Roman" w:cs="Times New Roman"/>
          <w:sz w:val="21"/>
          <w:szCs w:val="21"/>
        </w:rPr>
      </w:pPr>
      <w:r>
        <w:rPr>
          <w:rFonts w:ascii="Times New Roman" w:hAnsi="Times New Roman" w:cs="Times New Roman"/>
          <w:sz w:val="21"/>
          <w:szCs w:val="21"/>
        </w:rPr>
        <w:t>4. 现象的观察是生物学实验的重要环节。下列与</w:t>
      </w:r>
      <w:r>
        <w:rPr>
          <w:rFonts w:hAnsi="宋体" w:cs="Times New Roman"/>
          <w:sz w:val="21"/>
          <w:szCs w:val="21"/>
        </w:rPr>
        <w:t>“</w:t>
      </w:r>
      <w:r>
        <w:rPr>
          <w:rFonts w:ascii="Times New Roman" w:hAnsi="Times New Roman" w:cs="Times New Roman"/>
          <w:sz w:val="21"/>
          <w:szCs w:val="21"/>
        </w:rPr>
        <w:t>观察</w:t>
      </w:r>
      <w:r>
        <w:rPr>
          <w:rFonts w:hAnsi="宋体" w:cs="Times New Roman"/>
          <w:sz w:val="21"/>
          <w:szCs w:val="21"/>
        </w:rPr>
        <w:t>”</w:t>
      </w:r>
      <w:r>
        <w:rPr>
          <w:rFonts w:ascii="Times New Roman" w:hAnsi="Times New Roman" w:cs="Times New Roman"/>
          <w:sz w:val="21"/>
          <w:szCs w:val="21"/>
        </w:rPr>
        <w:t>相关的说法正确的是(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用台盼蓝染液鉴别细胞活性时，光镜下可观察到死细胞被染成蓝色</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在氨基酸溶液中加入双缩脲试剂，混匀后可观察到溶液变紫色</w:t>
      </w:r>
    </w:p>
    <w:p>
      <w:pPr>
        <w:pStyle w:val="6"/>
        <w:ind w:firstLine="420" w:firstLineChars="200"/>
        <w:rPr>
          <w:rFonts w:hint="eastAsia" w:ascii="Times New Roman" w:hAnsi="Times New Roman" w:cs="Times New Roman"/>
          <w:sz w:val="21"/>
          <w:szCs w:val="21"/>
        </w:rPr>
      </w:pPr>
      <w:r>
        <w:rPr>
          <w:rFonts w:ascii="Times New Roman" w:hAnsi="Times New Roman" w:cs="Times New Roman"/>
          <w:sz w:val="21"/>
          <w:szCs w:val="21"/>
        </w:rPr>
        <w:t>C. 叶绿体的存在会干扰对黑藻</w:t>
      </w:r>
      <w:r>
        <w:rPr>
          <w:rFonts w:hint="eastAsia" w:ascii="Times New Roman" w:hAnsi="Times New Roman" w:cs="Times New Roman"/>
          <w:sz w:val="21"/>
          <w:szCs w:val="21"/>
        </w:rPr>
        <w:t>细胞质壁分离现象的观察</w:t>
      </w:r>
    </w:p>
    <w:p>
      <w:pPr>
        <w:pStyle w:val="6"/>
        <w:ind w:firstLine="420" w:firstLineChars="200"/>
        <w:rPr>
          <w:rFonts w:ascii="Times New Roman" w:hAnsi="Times New Roman" w:cs="Times New Roman"/>
          <w:sz w:val="21"/>
          <w:szCs w:val="21"/>
        </w:rPr>
      </w:pPr>
      <w:bookmarkStart w:id="0" w:name="_GoBack"/>
      <w:r>
        <w:rPr>
          <w:rFonts w:ascii="Times New Roman" w:hAnsi="Times New Roman" w:cs="Times New Roman"/>
          <w:sz w:val="21"/>
          <w:szCs w:val="21"/>
        </w:rPr>
        <w:drawing>
          <wp:anchor distT="0" distB="0" distL="114300" distR="114300" simplePos="0" relativeHeight="251663360" behindDoc="0" locked="0" layoutInCell="1" allowOverlap="1">
            <wp:simplePos x="0" y="0"/>
            <wp:positionH relativeFrom="column">
              <wp:posOffset>4877435</wp:posOffset>
            </wp:positionH>
            <wp:positionV relativeFrom="paragraph">
              <wp:posOffset>133350</wp:posOffset>
            </wp:positionV>
            <wp:extent cx="1238885" cy="932180"/>
            <wp:effectExtent l="0" t="0" r="18415" b="1270"/>
            <wp:wrapSquare wrapText="bothSides"/>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8" r:link="rId19"/>
                    <a:stretch>
                      <a:fillRect/>
                    </a:stretch>
                  </pic:blipFill>
                  <pic:spPr>
                    <a:xfrm>
                      <a:off x="0" y="0"/>
                      <a:ext cx="1238885" cy="932180"/>
                    </a:xfrm>
                    <a:prstGeom prst="rect">
                      <a:avLst/>
                    </a:prstGeom>
                    <a:noFill/>
                    <a:ln>
                      <a:noFill/>
                    </a:ln>
                  </pic:spPr>
                </pic:pic>
              </a:graphicData>
            </a:graphic>
          </wp:anchor>
        </w:drawing>
      </w:r>
      <w:bookmarkEnd w:id="0"/>
      <w:r>
        <w:rPr>
          <w:rFonts w:ascii="Times New Roman" w:hAnsi="Times New Roman" w:cs="Times New Roman"/>
          <w:sz w:val="21"/>
          <w:szCs w:val="21"/>
        </w:rPr>
        <w:t>D. 根尖细胞有丝分裂实验中，可观察到染色体移动并分配到细胞两极</w:t>
      </w:r>
    </w:p>
    <w:p>
      <w:pPr>
        <w:pStyle w:val="6"/>
        <w:rPr>
          <w:rFonts w:ascii="Times New Roman" w:hAnsi="Times New Roman" w:cs="Times New Roman"/>
          <w:sz w:val="21"/>
          <w:szCs w:val="21"/>
        </w:rPr>
      </w:pPr>
      <w:r>
        <w:rPr>
          <w:rFonts w:ascii="Times New Roman" w:hAnsi="Times New Roman" w:cs="Times New Roman"/>
          <w:sz w:val="21"/>
          <w:szCs w:val="21"/>
        </w:rPr>
        <w:t>5. 粗糙脉孢菌(2</w:t>
      </w:r>
      <w:r>
        <w:rPr>
          <w:rFonts w:ascii="Times New Roman" w:hAnsi="Times New Roman" w:cs="Times New Roman"/>
          <w:i/>
          <w:sz w:val="21"/>
          <w:szCs w:val="21"/>
        </w:rPr>
        <w:t>n</w:t>
      </w:r>
      <w:r>
        <w:rPr>
          <w:rFonts w:ascii="Times New Roman" w:hAnsi="Times New Roman" w:cs="Times New Roman"/>
          <w:sz w:val="21"/>
          <w:szCs w:val="21"/>
        </w:rPr>
        <w:t>)在一个子囊中经过减数分裂产生4个孢子。子囊狭窄的空间导致孢子只能单列纵立排列，如右图所示。成熟孢子的颜色受等位基因A和a控制，染色体片段发生交换的概率与其长度呈正相关。不考虑突变，对基因型为Aa的粗糙脉孢菌产生孢子的说法，正确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子囊中孢子颜色的排列顺序最多有4种</w:t>
      </w:r>
    </w:p>
    <w:p>
      <w:pPr>
        <w:pStyle w:val="6"/>
        <w:ind w:firstLine="420" w:firstLineChars="200"/>
        <w:rPr>
          <w:rFonts w:hint="eastAsia" w:ascii="Times New Roman" w:hAnsi="Times New Roman" w:cs="Times New Roman"/>
          <w:sz w:val="21"/>
          <w:szCs w:val="21"/>
        </w:rPr>
      </w:pPr>
      <w:r>
        <w:rPr>
          <w:rFonts w:ascii="Times New Roman" w:hAnsi="Times New Roman" w:cs="Times New Roman"/>
          <w:sz w:val="21"/>
          <w:szCs w:val="21"/>
        </w:rPr>
        <w:t>B. 通过统计子囊中孢子颜色的排序，可推断A、a与着</w:t>
      </w:r>
      <w:r>
        <w:rPr>
          <w:rFonts w:hint="eastAsia" w:ascii="Times New Roman" w:hAnsi="Times New Roman" w:cs="Times New Roman"/>
          <w:sz w:val="21"/>
          <w:szCs w:val="21"/>
        </w:rPr>
        <w:t>丝粒距离的远近</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若子囊中间两个孢子同色，则A、a的分离只发生在减数分裂</w:t>
      </w:r>
      <w:r>
        <w:rPr>
          <w:rFonts w:hAnsi="宋体" w:cs="Times New Roman"/>
          <w:sz w:val="21"/>
          <w:szCs w:val="21"/>
        </w:rPr>
        <w:t>Ⅰ</w:t>
      </w:r>
      <w:r>
        <w:rPr>
          <w:rFonts w:ascii="Times New Roman" w:hAnsi="Times New Roman" w:cs="Times New Roman"/>
          <w:sz w:val="21"/>
          <w:szCs w:val="21"/>
        </w:rPr>
        <w:t>过程</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D. 若子囊中间两个孢子不同色，则A、a的分离只发生在减数分裂</w:t>
      </w:r>
      <w:r>
        <w:rPr>
          <w:rFonts w:hAnsi="宋体" w:cs="Times New Roman"/>
          <w:sz w:val="21"/>
          <w:szCs w:val="21"/>
        </w:rPr>
        <w:t>Ⅰ</w:t>
      </w:r>
      <w:r>
        <w:rPr>
          <w:rFonts w:ascii="Times New Roman" w:hAnsi="Times New Roman" w:cs="Times New Roman"/>
          <w:sz w:val="21"/>
          <w:szCs w:val="21"/>
        </w:rPr>
        <w:t>过程</w:t>
      </w:r>
    </w:p>
    <w:p>
      <w:pPr>
        <w:pStyle w:val="6"/>
        <w:rPr>
          <w:rFonts w:ascii="Times New Roman" w:hAnsi="Times New Roman" w:cs="Times New Roman"/>
          <w:sz w:val="21"/>
          <w:szCs w:val="21"/>
        </w:rPr>
      </w:pPr>
      <w:r>
        <w:rPr>
          <w:rFonts w:ascii="Times New Roman" w:hAnsi="Times New Roman" w:cs="Times New Roman"/>
          <w:sz w:val="21"/>
          <w:szCs w:val="21"/>
        </w:rPr>
        <w:t>6. 生物进化有一定的历程，也留下了一定的痕迹。下列各项内容中不属于生物进化证据的是(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化石证据——越早形成的地层中，成为化石的生物越低等</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胚胎学证据——同源器官在形态和结构上有差异，但内部的结构基本一致</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细胞生物学证据——原核生物与真核生物都通过细胞呼吸供能维持生命活动</w:t>
      </w:r>
    </w:p>
    <w:p>
      <w:pPr>
        <w:pStyle w:val="6"/>
        <w:ind w:firstLine="420" w:firstLineChars="200"/>
        <w:rPr>
          <w:rFonts w:hint="eastAsia" w:ascii="Times New Roman" w:hAnsi="Times New Roman" w:cs="Times New Roman"/>
          <w:sz w:val="21"/>
          <w:szCs w:val="21"/>
        </w:rPr>
      </w:pPr>
      <w:r>
        <w:rPr>
          <w:rFonts w:ascii="Times New Roman" w:hAnsi="Times New Roman" w:cs="Times New Roman"/>
          <w:sz w:val="21"/>
          <w:szCs w:val="21"/>
        </w:rPr>
        <w:t>D. 分子生物学证据——几乎所有生物遗传信息的传递</w:t>
      </w:r>
      <w:r>
        <w:rPr>
          <w:rFonts w:hint="eastAsia" w:ascii="Times New Roman" w:hAnsi="Times New Roman" w:cs="Times New Roman"/>
          <w:sz w:val="21"/>
          <w:szCs w:val="21"/>
        </w:rPr>
        <w:t>都遵循中心法则</w:t>
      </w:r>
    </w:p>
    <w:p>
      <w:pPr>
        <w:pStyle w:val="6"/>
        <w:rPr>
          <w:rFonts w:ascii="Times New Roman" w:hAnsi="Times New Roman" w:cs="Times New Roman"/>
          <w:sz w:val="21"/>
          <w:szCs w:val="21"/>
        </w:rPr>
      </w:pPr>
      <w:r>
        <w:rPr>
          <w:rFonts w:ascii="Times New Roman" w:hAnsi="Times New Roman" w:cs="Times New Roman"/>
          <w:sz w:val="21"/>
          <w:szCs w:val="21"/>
        </w:rPr>
        <w:t>7. 底物水平磷酸化是指含有高能键的底物，在酶的催化下，直接将ADP磷酸化为ATP的反应，如图所示。糖酵解和三羧酸循环过程中可发生底物水平磷酸化。</w:t>
      </w:r>
    </w:p>
    <w:p>
      <w:pPr>
        <w:pStyle w:val="6"/>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327400" cy="984885"/>
            <wp:effectExtent l="0" t="0" r="6350" b="571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20" r:link="rId21"/>
                    <a:stretch>
                      <a:fillRect/>
                    </a:stretch>
                  </pic:blipFill>
                  <pic:spPr>
                    <a:xfrm>
                      <a:off x="0" y="0"/>
                      <a:ext cx="3327400" cy="984885"/>
                    </a:xfrm>
                    <a:prstGeom prst="rect">
                      <a:avLst/>
                    </a:prstGeom>
                    <a:noFill/>
                    <a:ln>
                      <a:noFill/>
                    </a:ln>
                  </pic:spPr>
                </pic:pic>
              </a:graphicData>
            </a:graphic>
          </wp:inline>
        </w:drawing>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相关叙述正确的是(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酵母菌和乳酸菌均能发生底物水平磷酸化</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该过程的发生一般与细胞中的吸能反应相关联</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在细胞呼吸中，利用底物水平磷酸化可生成大量ATP</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D 该过程需要建立跨膜质子的电化学梯度来驱动ATP的生成</w:t>
      </w:r>
    </w:p>
    <w:p>
      <w:pPr>
        <w:pStyle w:val="6"/>
        <w:rPr>
          <w:rFonts w:ascii="Times New Roman" w:hAnsi="Times New Roman" w:cs="Times New Roman"/>
          <w:sz w:val="21"/>
          <w:szCs w:val="21"/>
        </w:rPr>
      </w:pPr>
      <w:r>
        <w:rPr>
          <w:rFonts w:ascii="Times New Roman" w:hAnsi="Times New Roman" w:cs="Times New Roman"/>
          <w:sz w:val="21"/>
          <w:szCs w:val="21"/>
        </w:rPr>
        <w:t>8. 鱼宰杀后，鱼肉中的ATP会降解成肌苷酸(IMP)，IMP在酸性磷酸酶(ACP)作用下形成肌苷，在其他酶的作用下肌苷会继续降解为次黄嘌呤和核糖，IMP具有鲜味特性而次黄嘌呤无鲜味。下图为研究者探究鱼肉鲜味下降原因的部分实验结果。下列说法错误的是(　　)</w:t>
      </w:r>
    </w:p>
    <w:p>
      <w:pPr>
        <w:pStyle w:val="6"/>
        <w:ind w:firstLine="420" w:firstLineChars="20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4170680" cy="1215390"/>
            <wp:effectExtent l="0" t="0" r="1270" b="381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2" r:link="rId23"/>
                    <a:stretch>
                      <a:fillRect/>
                    </a:stretch>
                  </pic:blipFill>
                  <pic:spPr>
                    <a:xfrm>
                      <a:off x="0" y="0"/>
                      <a:ext cx="4170680" cy="1215390"/>
                    </a:xfrm>
                    <a:prstGeom prst="rect">
                      <a:avLst/>
                    </a:prstGeom>
                    <a:noFill/>
                    <a:ln>
                      <a:noFill/>
                    </a:ln>
                  </pic:spPr>
                </pic:pic>
              </a:graphicData>
            </a:graphic>
          </wp:inline>
        </w:drawing>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本实验的自变量有温度、pH和鱼的种类，因变量是ACP的活性</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ACP的活性可以通过测定单位时间内IMP的消耗量或肌苷的生成量来表示</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草鱼体内ACP的热稳定性较强，在不同温度下均可保持较高的鲜味</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D. 要保持宰杀后鱼肉的鲜</w:t>
      </w:r>
      <w:r>
        <w:rPr>
          <w:rFonts w:hint="eastAsia" w:ascii="Times New Roman" w:hAnsi="Times New Roman" w:cs="Times New Roman"/>
          <w:sz w:val="21"/>
          <w:szCs w:val="21"/>
        </w:rPr>
        <w:t>味，鳝鱼对保存环境的温度和</w:t>
      </w:r>
      <w:r>
        <w:rPr>
          <w:rFonts w:ascii="Times New Roman" w:hAnsi="Times New Roman" w:cs="Times New Roman"/>
          <w:sz w:val="21"/>
          <w:szCs w:val="21"/>
        </w:rPr>
        <w:t>pH要求最低</w:t>
      </w:r>
    </w:p>
    <w:p>
      <w:pPr>
        <w:pStyle w:val="6"/>
        <w:rPr>
          <w:rFonts w:ascii="Times New Roman" w:hAnsi="Times New Roman" w:cs="Times New Roman"/>
          <w:sz w:val="21"/>
          <w:szCs w:val="21"/>
        </w:rPr>
      </w:pPr>
      <w:r>
        <w:rPr>
          <w:rFonts w:ascii="Times New Roman" w:hAnsi="Times New Roman" w:cs="Times New Roman"/>
          <w:sz w:val="21"/>
          <w:szCs w:val="21"/>
        </w:rPr>
        <w:t>9. 6甲基腺嘌呤(m</w:t>
      </w:r>
      <w:r>
        <w:rPr>
          <w:rFonts w:ascii="Times New Roman" w:hAnsi="Times New Roman" w:cs="Times New Roman"/>
          <w:sz w:val="21"/>
          <w:szCs w:val="21"/>
          <w:vertAlign w:val="superscript"/>
        </w:rPr>
        <w:t>6</w:t>
      </w:r>
      <w:r>
        <w:rPr>
          <w:rFonts w:ascii="Times New Roman" w:hAnsi="Times New Roman" w:cs="Times New Roman"/>
          <w:sz w:val="21"/>
          <w:szCs w:val="21"/>
        </w:rPr>
        <w:t>A)是mRNA甲基化修饰形式之一。</w:t>
      </w:r>
      <w:r>
        <w:rPr>
          <w:rFonts w:ascii="Times New Roman" w:hAnsi="Times New Roman" w:cs="Times New Roman"/>
          <w:i/>
          <w:sz w:val="21"/>
          <w:szCs w:val="21"/>
        </w:rPr>
        <w:t>FOXM</w:t>
      </w:r>
      <w:r>
        <w:rPr>
          <w:rFonts w:ascii="Times New Roman" w:hAnsi="Times New Roman" w:cs="Times New Roman"/>
          <w:sz w:val="21"/>
          <w:szCs w:val="21"/>
        </w:rPr>
        <w:t>1AS是一种长链非编码RNA，去甲基化酶ALKBH5依赖它的帮助与</w:t>
      </w:r>
      <w:r>
        <w:rPr>
          <w:rFonts w:ascii="Times New Roman" w:hAnsi="Times New Roman" w:cs="Times New Roman"/>
          <w:i/>
          <w:sz w:val="21"/>
          <w:szCs w:val="21"/>
        </w:rPr>
        <w:t>FOXM</w:t>
      </w:r>
      <w:r>
        <w:rPr>
          <w:rFonts w:ascii="Times New Roman" w:hAnsi="Times New Roman" w:cs="Times New Roman"/>
          <w:sz w:val="21"/>
          <w:szCs w:val="21"/>
        </w:rPr>
        <w:t>1的mRNA结合，使其发生特异性的低甲基化，导致</w:t>
      </w:r>
      <w:r>
        <w:rPr>
          <w:rFonts w:ascii="Times New Roman" w:hAnsi="Times New Roman" w:cs="Times New Roman"/>
          <w:i/>
          <w:sz w:val="21"/>
          <w:szCs w:val="21"/>
        </w:rPr>
        <w:t>FOXM</w:t>
      </w:r>
      <w:r>
        <w:rPr>
          <w:rFonts w:ascii="Times New Roman" w:hAnsi="Times New Roman" w:cs="Times New Roman"/>
          <w:sz w:val="21"/>
          <w:szCs w:val="21"/>
        </w:rPr>
        <w:t>1表达上升，促进了神经胶质瘤的发生。相关叙述正确的是(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ALKBH5可能与</w:t>
      </w:r>
      <w:r>
        <w:rPr>
          <w:rFonts w:ascii="Times New Roman" w:hAnsi="Times New Roman" w:cs="Times New Roman"/>
          <w:i/>
          <w:sz w:val="21"/>
          <w:szCs w:val="21"/>
        </w:rPr>
        <w:t>FOXM</w:t>
      </w:r>
      <w:r>
        <w:rPr>
          <w:rFonts w:ascii="Times New Roman" w:hAnsi="Times New Roman" w:cs="Times New Roman"/>
          <w:sz w:val="21"/>
          <w:szCs w:val="21"/>
        </w:rPr>
        <w:t>1的mRNA通过碱基互补配对的方式结合</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m</w:t>
      </w:r>
      <w:r>
        <w:rPr>
          <w:rFonts w:ascii="Times New Roman" w:hAnsi="Times New Roman" w:cs="Times New Roman"/>
          <w:sz w:val="21"/>
          <w:szCs w:val="21"/>
          <w:vertAlign w:val="superscript"/>
        </w:rPr>
        <w:t>6</w:t>
      </w:r>
      <w:r>
        <w:rPr>
          <w:rFonts w:ascii="Times New Roman" w:hAnsi="Times New Roman" w:cs="Times New Roman"/>
          <w:sz w:val="21"/>
          <w:szCs w:val="21"/>
        </w:rPr>
        <w:t>A修饰通过抑制RNA聚合酶与</w:t>
      </w:r>
      <w:r>
        <w:rPr>
          <w:rFonts w:ascii="Times New Roman" w:hAnsi="Times New Roman" w:cs="Times New Roman"/>
          <w:i/>
          <w:sz w:val="21"/>
          <w:szCs w:val="21"/>
        </w:rPr>
        <w:t>FOXM</w:t>
      </w:r>
      <w:r>
        <w:rPr>
          <w:rFonts w:ascii="Times New Roman" w:hAnsi="Times New Roman" w:cs="Times New Roman"/>
          <w:sz w:val="21"/>
          <w:szCs w:val="21"/>
        </w:rPr>
        <w:t>1的识别与结合来抑制</w:t>
      </w:r>
      <w:r>
        <w:rPr>
          <w:rFonts w:ascii="Times New Roman" w:hAnsi="Times New Roman" w:cs="Times New Roman"/>
          <w:i/>
          <w:sz w:val="21"/>
          <w:szCs w:val="21"/>
        </w:rPr>
        <w:t>FOXM</w:t>
      </w:r>
      <w:r>
        <w:rPr>
          <w:rFonts w:ascii="Times New Roman" w:hAnsi="Times New Roman" w:cs="Times New Roman"/>
          <w:sz w:val="21"/>
          <w:szCs w:val="21"/>
        </w:rPr>
        <w:t>1的表达</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 xml:space="preserve">C. </w:t>
      </w:r>
      <w:r>
        <w:rPr>
          <w:rFonts w:ascii="Times New Roman" w:hAnsi="Times New Roman" w:cs="Times New Roman"/>
          <w:i/>
          <w:sz w:val="21"/>
          <w:szCs w:val="21"/>
        </w:rPr>
        <w:t>FOXM</w:t>
      </w:r>
      <w:r>
        <w:rPr>
          <w:rFonts w:ascii="Times New Roman" w:hAnsi="Times New Roman" w:cs="Times New Roman"/>
          <w:sz w:val="21"/>
          <w:szCs w:val="21"/>
        </w:rPr>
        <w:t>1可能是一种原癌基因，其在正常细胞存在但不表达</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 xml:space="preserve">D. </w:t>
      </w:r>
      <w:r>
        <w:rPr>
          <w:rFonts w:ascii="Times New Roman" w:hAnsi="Times New Roman" w:cs="Times New Roman"/>
          <w:i/>
          <w:sz w:val="21"/>
          <w:szCs w:val="21"/>
        </w:rPr>
        <w:t>FOXM</w:t>
      </w:r>
      <w:r>
        <w:rPr>
          <w:rFonts w:ascii="Times New Roman" w:hAnsi="Times New Roman" w:cs="Times New Roman"/>
          <w:sz w:val="21"/>
          <w:szCs w:val="21"/>
        </w:rPr>
        <w:t>1AS合成抑制剂有望为神经胶质瘤的治疗提供新思路</w:t>
      </w:r>
    </w:p>
    <w:p>
      <w:pPr>
        <w:pStyle w:val="6"/>
        <w:rPr>
          <w:rFonts w:ascii="Times New Roman" w:hAnsi="Times New Roman" w:cs="Times New Roman"/>
          <w:sz w:val="21"/>
          <w:szCs w:val="21"/>
        </w:rPr>
      </w:pPr>
      <w:r>
        <w:rPr>
          <w:rFonts w:ascii="Times New Roman" w:hAnsi="Times New Roman" w:cs="Times New Roman"/>
          <w:sz w:val="21"/>
          <w:szCs w:val="21"/>
        </w:rPr>
        <w:t>10. 猫叫综合征(CDCS)是由人体第5号染色体短臂缺失而引发的疾病，喉部发育相关的基因丢失使患者猫叫样啼哭是该病最明显的临床表现之一。下列相关叙述错误的是(　　)</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A.  CDCS属于人类遗传病中的染色体异常遗传病</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B. 对CDCS的诊断主要通过染色体核型分析和基因定位技术</w:t>
      </w:r>
    </w:p>
    <w:p>
      <w:pPr>
        <w:pStyle w:val="6"/>
        <w:ind w:firstLine="420" w:firstLineChars="200"/>
        <w:rPr>
          <w:rFonts w:ascii="Times New Roman" w:hAnsi="Times New Roman" w:cs="Times New Roman"/>
          <w:sz w:val="21"/>
          <w:szCs w:val="21"/>
        </w:rPr>
      </w:pPr>
      <w:r>
        <w:rPr>
          <w:rFonts w:ascii="Times New Roman" w:hAnsi="Times New Roman" w:cs="Times New Roman"/>
          <w:sz w:val="21"/>
          <w:szCs w:val="21"/>
        </w:rPr>
        <w:t>C. 病因主要是母亲的卵母细胞减数分裂时染色体不分离</w:t>
      </w:r>
    </w:p>
    <w:p>
      <w:pPr>
        <w:pStyle w:val="6"/>
        <w:ind w:firstLine="420" w:firstLineChars="200"/>
        <w:rPr>
          <w:rFonts w:hint="eastAsia" w:ascii="Times New Roman" w:hAnsi="Times New Roman" w:cs="Times New Roman"/>
          <w:sz w:val="21"/>
          <w:szCs w:val="21"/>
        </w:rPr>
      </w:pPr>
      <w:r>
        <w:rPr>
          <w:rFonts w:ascii="Times New Roman" w:hAnsi="Times New Roman" w:cs="Times New Roman"/>
          <w:sz w:val="21"/>
          <w:szCs w:val="21"/>
        </w:rPr>
        <w:t>D. 通过</w:t>
      </w:r>
      <w:r>
        <w:rPr>
          <w:rFonts w:hint="eastAsia" w:ascii="Times New Roman" w:hAnsi="Times New Roman" w:cs="Times New Roman"/>
          <w:sz w:val="21"/>
          <w:szCs w:val="21"/>
        </w:rPr>
        <w:t>产前诊断进行筛查，可降低患儿的出生率，达到优生的目的</w:t>
      </w:r>
    </w:p>
    <w:p>
      <w:pPr>
        <w:jc w:val="left"/>
        <w:textAlignment w:val="center"/>
        <w:rPr>
          <w:color w:val="auto"/>
          <w:sz w:val="21"/>
          <w:szCs w:val="21"/>
        </w:rPr>
      </w:pPr>
      <w:r>
        <w:rPr>
          <w:rFonts w:hint="eastAsia"/>
          <w:color w:val="auto"/>
          <w:sz w:val="21"/>
          <w:szCs w:val="21"/>
        </w:rPr>
        <w:t>二、填空题。</w:t>
      </w:r>
    </w:p>
    <w:p>
      <w:pPr>
        <w:spacing w:after="0"/>
        <w:textAlignment w:val="center"/>
        <w:rPr>
          <w:rFonts w:asciiTheme="minorEastAsia" w:hAnsiTheme="minorEastAsia" w:eastAsiaTheme="minorEastAsia"/>
          <w:color w:val="auto"/>
          <w:sz w:val="21"/>
          <w:szCs w:val="21"/>
        </w:rPr>
      </w:pPr>
      <w:r>
        <w:rPr>
          <w:rFonts w:hint="eastAsia"/>
          <w:color w:val="auto"/>
          <w:sz w:val="21"/>
          <w:szCs w:val="21"/>
        </w:rPr>
        <w:t>11．</w:t>
      </w:r>
      <w:r>
        <w:rPr>
          <w:rFonts w:asciiTheme="minorEastAsia" w:hAnsiTheme="minorEastAsia" w:eastAsiaTheme="minorEastAsia"/>
          <w:color w:val="auto"/>
          <w:sz w:val="21"/>
          <w:szCs w:val="21"/>
        </w:rPr>
        <w:t xml:space="preserve"> </w:t>
      </w:r>
      <w:r>
        <w:rPr>
          <w:rFonts w:cs="宋体" w:asciiTheme="minorEastAsia" w:hAnsiTheme="minorEastAsia" w:eastAsiaTheme="minorEastAsia"/>
          <w:color w:val="auto"/>
          <w:sz w:val="21"/>
          <w:szCs w:val="21"/>
        </w:rPr>
        <w:t>糖尿病是一种慢性代谢性疾病。胰岛素是降血糖的常见药物，下图</w:t>
      </w:r>
      <w:r>
        <w:rPr>
          <w:rFonts w:cs="Times New Roman" w:asciiTheme="minorEastAsia" w:hAnsiTheme="minorEastAsia" w:eastAsiaTheme="minorEastAsia"/>
          <w:color w:val="auto"/>
          <w:sz w:val="21"/>
          <w:szCs w:val="21"/>
        </w:rPr>
        <w:t>1</w:t>
      </w:r>
      <w:r>
        <w:rPr>
          <w:rFonts w:cs="宋体" w:asciiTheme="minorEastAsia" w:hAnsiTheme="minorEastAsia" w:eastAsiaTheme="minorEastAsia"/>
          <w:color w:val="auto"/>
          <w:sz w:val="21"/>
          <w:szCs w:val="21"/>
        </w:rPr>
        <w:t>为胰岛素降低血糖的作用机理图，</w:t>
      </w:r>
      <w:r>
        <w:rPr>
          <w:rFonts w:cs="Times New Roman" w:asciiTheme="minorEastAsia" w:hAnsiTheme="minorEastAsia" w:eastAsiaTheme="minorEastAsia"/>
          <w:color w:val="auto"/>
          <w:sz w:val="21"/>
          <w:szCs w:val="21"/>
        </w:rPr>
        <w:t>GLUT4</w:t>
      </w:r>
      <w:r>
        <w:rPr>
          <w:rFonts w:cs="宋体" w:asciiTheme="minorEastAsia" w:hAnsiTheme="minorEastAsia" w:eastAsiaTheme="minorEastAsia"/>
          <w:color w:val="auto"/>
          <w:sz w:val="21"/>
          <w:szCs w:val="21"/>
        </w:rPr>
        <w:t>是一种膜转运蛋白。请回答下列问题。</w:t>
      </w:r>
    </w:p>
    <w:p>
      <w:pPr>
        <w:spacing w:after="0"/>
        <w:textAlignment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drawing>
          <wp:anchor distT="0" distB="0" distL="0" distR="0" simplePos="0" relativeHeight="251660288" behindDoc="0" locked="0" layoutInCell="1" allowOverlap="1">
            <wp:simplePos x="0" y="0"/>
            <wp:positionH relativeFrom="column">
              <wp:posOffset>3520440</wp:posOffset>
            </wp:positionH>
            <wp:positionV relativeFrom="paragraph">
              <wp:posOffset>609600</wp:posOffset>
            </wp:positionV>
            <wp:extent cx="2811780" cy="1031240"/>
            <wp:effectExtent l="0" t="0" r="7620" b="16510"/>
            <wp:wrapSquare wrapText="bothSides"/>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2811780" cy="1032278"/>
                    </a:xfrm>
                    <a:prstGeom prst="rect">
                      <a:avLst/>
                    </a:prstGeom>
                  </pic:spPr>
                </pic:pic>
              </a:graphicData>
            </a:graphic>
          </wp:anchor>
        </w:drawing>
      </w:r>
      <w:r>
        <w:rPr>
          <w:rFonts w:asciiTheme="minorEastAsia" w:hAnsiTheme="minorEastAsia" w:eastAsiaTheme="minorEastAsia"/>
          <w:color w:val="auto"/>
          <w:sz w:val="21"/>
          <w:szCs w:val="21"/>
        </w:rPr>
        <w:drawing>
          <wp:inline distT="0" distB="0" distL="0" distR="0">
            <wp:extent cx="3533775" cy="2286000"/>
            <wp:effectExtent l="0" t="0" r="9525"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3533775" cy="2286560"/>
                    </a:xfrm>
                    <a:prstGeom prst="rect">
                      <a:avLst/>
                    </a:prstGeom>
                  </pic:spPr>
                </pic:pic>
              </a:graphicData>
            </a:graphic>
          </wp:inline>
        </w:drawing>
      </w:r>
    </w:p>
    <w:p>
      <w:pPr>
        <w:spacing w:after="0"/>
        <w:textAlignment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（1）</w:t>
      </w:r>
      <w:r>
        <w:rPr>
          <w:rFonts w:cs="宋体" w:asciiTheme="minorEastAsia" w:hAnsiTheme="minorEastAsia" w:eastAsiaTheme="minorEastAsia"/>
          <w:color w:val="auto"/>
          <w:sz w:val="21"/>
          <w:szCs w:val="21"/>
        </w:rPr>
        <w:t>胰岛素受体是一种酪氨酸激酶。图</w:t>
      </w:r>
      <w:r>
        <w:rPr>
          <w:rFonts w:cs="Times New Roman" w:asciiTheme="minorEastAsia" w:hAnsiTheme="minorEastAsia" w:eastAsiaTheme="minorEastAsia"/>
          <w:color w:val="auto"/>
          <w:sz w:val="21"/>
          <w:szCs w:val="21"/>
        </w:rPr>
        <w:t>1</w:t>
      </w:r>
      <w:r>
        <w:rPr>
          <w:rFonts w:cs="宋体" w:asciiTheme="minorEastAsia" w:hAnsiTheme="minorEastAsia" w:eastAsiaTheme="minorEastAsia"/>
          <w:color w:val="auto"/>
          <w:sz w:val="21"/>
          <w:szCs w:val="21"/>
        </w:rPr>
        <w:t>中，当胰岛素与靶细胞膜上胰岛素受体的</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亚基结合后，可激活酪氨酸激酶，催化</w:t>
      </w:r>
      <w:r>
        <w:rPr>
          <w:rFonts w:cs="Times New Roman" w:asciiTheme="minorEastAsia" w:hAnsiTheme="minorEastAsia" w:eastAsiaTheme="minorEastAsia"/>
          <w:color w:val="auto"/>
          <w:sz w:val="21"/>
          <w:szCs w:val="21"/>
        </w:rPr>
        <w:t>IRS-1</w:t>
      </w:r>
      <w:r>
        <w:rPr>
          <w:rFonts w:cs="宋体" w:asciiTheme="minorEastAsia" w:hAnsiTheme="minorEastAsia" w:eastAsiaTheme="minorEastAsia"/>
          <w:color w:val="auto"/>
          <w:sz w:val="21"/>
          <w:szCs w:val="21"/>
        </w:rPr>
        <w:t>酪氨酸（</w:t>
      </w:r>
      <w:r>
        <w:rPr>
          <w:rFonts w:cs="Times New Roman" w:asciiTheme="minorEastAsia" w:hAnsiTheme="minorEastAsia" w:eastAsiaTheme="minorEastAsia"/>
          <w:color w:val="auto"/>
          <w:sz w:val="21"/>
          <w:szCs w:val="21"/>
        </w:rPr>
        <w:t>Tyr</w:t>
      </w:r>
      <w:r>
        <w:rPr>
          <w:rFonts w:cs="宋体" w:asciiTheme="minorEastAsia" w:hAnsiTheme="minorEastAsia" w:eastAsiaTheme="minorEastAsia"/>
          <w:color w:val="auto"/>
          <w:sz w:val="21"/>
          <w:szCs w:val="21"/>
        </w:rPr>
        <w:t>）残基</w:t>
      </w:r>
      <w:r>
        <w:rPr>
          <w:rFonts w:hint="eastAsia" w:cs="宋体" w:asciiTheme="minorEastAsia" w:hAnsiTheme="minorEastAsia" w:eastAsiaTheme="minorEastAsia"/>
          <w:color w:val="auto"/>
          <w:sz w:val="21"/>
          <w:szCs w:val="21"/>
        </w:rPr>
        <w:t>发生</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而激活，进而发挥作用。</w:t>
      </w:r>
    </w:p>
    <w:p>
      <w:pPr>
        <w:spacing w:after="0"/>
        <w:textAlignment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（2）</w:t>
      </w:r>
      <w:r>
        <w:rPr>
          <w:rFonts w:cs="宋体" w:asciiTheme="minorEastAsia" w:hAnsiTheme="minorEastAsia" w:eastAsiaTheme="minorEastAsia"/>
          <w:color w:val="auto"/>
          <w:sz w:val="21"/>
          <w:szCs w:val="21"/>
        </w:rPr>
        <w:t>激活后的</w:t>
      </w:r>
      <w:r>
        <w:rPr>
          <w:rFonts w:cs="Times New Roman" w:asciiTheme="minorEastAsia" w:hAnsiTheme="minorEastAsia" w:eastAsiaTheme="minorEastAsia"/>
          <w:color w:val="auto"/>
          <w:sz w:val="21"/>
          <w:szCs w:val="21"/>
        </w:rPr>
        <w:t>IRS-1</w:t>
      </w:r>
      <w:r>
        <w:rPr>
          <w:rFonts w:cs="宋体" w:asciiTheme="minorEastAsia" w:hAnsiTheme="minorEastAsia" w:eastAsiaTheme="minorEastAsia"/>
          <w:color w:val="auto"/>
          <w:sz w:val="21"/>
          <w:szCs w:val="21"/>
        </w:rPr>
        <w:t>可经过细胞内信号转导，通过促进过程①</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与细胞膜融合以促进葡萄糖通过</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方式进入组织细胞进而降低血糖。</w:t>
      </w:r>
    </w:p>
    <w:p>
      <w:pPr>
        <w:spacing w:after="0"/>
        <w:textAlignment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（3）</w:t>
      </w:r>
      <w:r>
        <w:rPr>
          <w:rFonts w:cs="宋体" w:asciiTheme="minorEastAsia" w:hAnsiTheme="minorEastAsia" w:eastAsiaTheme="minorEastAsia"/>
          <w:color w:val="auto"/>
          <w:sz w:val="21"/>
          <w:szCs w:val="21"/>
        </w:rPr>
        <w:t>引发糖尿病的原因有多种。某种糖尿病是因图</w:t>
      </w:r>
      <w:r>
        <w:rPr>
          <w:rFonts w:cs="Times New Roman" w:asciiTheme="minorEastAsia" w:hAnsiTheme="minorEastAsia" w:eastAsiaTheme="minorEastAsia"/>
          <w:color w:val="auto"/>
          <w:sz w:val="21"/>
          <w:szCs w:val="21"/>
        </w:rPr>
        <w:t>1</w:t>
      </w:r>
      <w:r>
        <w:rPr>
          <w:rFonts w:cs="宋体" w:asciiTheme="minorEastAsia" w:hAnsiTheme="minorEastAsia" w:eastAsiaTheme="minorEastAsia"/>
          <w:color w:val="auto"/>
          <w:sz w:val="21"/>
          <w:szCs w:val="21"/>
        </w:rPr>
        <w:t>中过程①受阻，医生分析图</w:t>
      </w:r>
      <w:r>
        <w:rPr>
          <w:rFonts w:cs="Times New Roman" w:asciiTheme="minorEastAsia" w:hAnsiTheme="minorEastAsia" w:eastAsiaTheme="minorEastAsia"/>
          <w:color w:val="auto"/>
          <w:sz w:val="21"/>
          <w:szCs w:val="21"/>
        </w:rPr>
        <w:t>2</w:t>
      </w:r>
      <w:r>
        <w:rPr>
          <w:rFonts w:cs="宋体" w:asciiTheme="minorEastAsia" w:hAnsiTheme="minorEastAsia" w:eastAsiaTheme="minorEastAsia"/>
          <w:color w:val="auto"/>
          <w:sz w:val="21"/>
          <w:szCs w:val="21"/>
        </w:rPr>
        <w:t>中磺脲类降糖药物不是治疗该种糖尿病的最佳用药，简述理由</w:t>
      </w:r>
      <w:r>
        <w:rPr>
          <w:rFonts w:hint="eastAsia" w:asciiTheme="minorEastAsia" w:hAnsiTheme="minorEastAsia" w:eastAsiaTheme="minorEastAsia"/>
          <w:color w:val="auto"/>
          <w:sz w:val="21"/>
          <w:szCs w:val="21"/>
          <w:u w:val="single"/>
        </w:rPr>
        <w:t xml:space="preserve">                                                  </w:t>
      </w:r>
      <w:r>
        <w:rPr>
          <w:rFonts w:cs="宋体" w:asciiTheme="minorEastAsia" w:hAnsiTheme="minorEastAsia" w:eastAsiaTheme="minorEastAsia"/>
          <w:color w:val="auto"/>
          <w:sz w:val="21"/>
          <w:szCs w:val="21"/>
        </w:rPr>
        <w:t>。</w:t>
      </w:r>
      <w:r>
        <w:rPr>
          <w:rFonts w:hint="eastAsia" w:cs="宋体" w:asciiTheme="minorEastAsia" w:hAnsiTheme="minorEastAsia" w:eastAsiaTheme="minorEastAsia"/>
          <w:color w:val="auto"/>
          <w:sz w:val="21"/>
          <w:szCs w:val="21"/>
        </w:rPr>
        <w:t>（2分）</w:t>
      </w:r>
    </w:p>
    <w:p>
      <w:pPr>
        <w:spacing w:after="0"/>
        <w:textAlignment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（4）</w:t>
      </w:r>
      <w:r>
        <w:rPr>
          <w:rFonts w:cs="宋体" w:asciiTheme="minorEastAsia" w:hAnsiTheme="minorEastAsia" w:eastAsiaTheme="minorEastAsia"/>
          <w:color w:val="auto"/>
          <w:sz w:val="21"/>
          <w:szCs w:val="21"/>
        </w:rPr>
        <w:t>血糖偏低时，下丘脑的某些区域兴奋，通过</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（“交感”、“副交感”）神经使胰岛</w:t>
      </w:r>
      <w:r>
        <w:rPr>
          <w:rFonts w:cs="Times New Roman" w:asciiTheme="minorEastAsia" w:hAnsiTheme="minorEastAsia" w:eastAsiaTheme="minorEastAsia"/>
          <w:color w:val="auto"/>
          <w:sz w:val="21"/>
          <w:szCs w:val="21"/>
        </w:rPr>
        <w:t>A</w:t>
      </w:r>
      <w:r>
        <w:rPr>
          <w:rFonts w:cs="宋体" w:asciiTheme="minorEastAsia" w:hAnsiTheme="minorEastAsia" w:eastAsiaTheme="minorEastAsia"/>
          <w:color w:val="auto"/>
          <w:sz w:val="21"/>
          <w:szCs w:val="21"/>
        </w:rPr>
        <w:t>细胞分泌胰高血糖素，这属于</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调节。</w:t>
      </w:r>
    </w:p>
    <w:p>
      <w:pPr>
        <w:spacing w:after="0"/>
        <w:textAlignment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（5）</w:t>
      </w:r>
      <w:r>
        <w:rPr>
          <w:rFonts w:cs="宋体" w:asciiTheme="minorEastAsia" w:hAnsiTheme="minorEastAsia" w:eastAsiaTheme="minorEastAsia"/>
          <w:color w:val="auto"/>
          <w:sz w:val="21"/>
          <w:szCs w:val="21"/>
        </w:rPr>
        <w:t>正常人体在血糖偏低时，会测到两次胰岛素释放“高峰”，第一波胰岛素主要来自</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，第二波胰岛素主要来自</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w:t>
      </w:r>
    </w:p>
    <w:p>
      <w:pPr>
        <w:spacing w:after="0"/>
        <w:textAlignment w:val="center"/>
        <w:rPr>
          <w:rFonts w:cs="Times New Roman" w:asciiTheme="minorEastAsia" w:hAnsiTheme="minorEastAsia" w:eastAsiaTheme="minorEastAsia"/>
          <w:color w:val="auto"/>
          <w:sz w:val="21"/>
          <w:szCs w:val="21"/>
        </w:rPr>
      </w:pPr>
      <w:r>
        <w:rPr>
          <w:rFonts w:asciiTheme="minorEastAsia" w:hAnsiTheme="minorEastAsia" w:eastAsiaTheme="minorEastAsia"/>
          <w:color w:val="auto"/>
          <w:sz w:val="21"/>
          <w:szCs w:val="21"/>
        </w:rPr>
        <w:t>（6）</w:t>
      </w:r>
      <w:r>
        <w:rPr>
          <w:rFonts w:cs="宋体" w:asciiTheme="minorEastAsia" w:hAnsiTheme="minorEastAsia" w:eastAsiaTheme="minorEastAsia"/>
          <w:color w:val="auto"/>
          <w:sz w:val="21"/>
          <w:szCs w:val="21"/>
        </w:rPr>
        <w:t>在巴普洛夫做的狗条件反射建立过程中，食物从非条件刺激转变为</w:t>
      </w:r>
      <w:r>
        <w:rPr>
          <w:rFonts w:asciiTheme="minorEastAsia" w:hAnsiTheme="minorEastAsia" w:eastAsiaTheme="minorEastAsia"/>
          <w:color w:val="auto"/>
          <w:sz w:val="21"/>
          <w:szCs w:val="21"/>
        </w:rPr>
        <w:t>________</w:t>
      </w:r>
      <w:r>
        <w:rPr>
          <w:rFonts w:cs="宋体" w:asciiTheme="minorEastAsia" w:hAnsiTheme="minorEastAsia" w:eastAsiaTheme="minorEastAsia"/>
          <w:color w:val="auto"/>
          <w:sz w:val="21"/>
          <w:szCs w:val="21"/>
        </w:rPr>
        <w:t>。若连续只铃声而不给食物，狗的条件反射就会逐渐消失，</w:t>
      </w:r>
      <w:r>
        <w:rPr>
          <w:rFonts w:hint="eastAsia" w:cs="宋体" w:asciiTheme="minorEastAsia" w:hAnsiTheme="minorEastAsia" w:eastAsiaTheme="minorEastAsia"/>
          <w:color w:val="auto"/>
          <w:sz w:val="21"/>
          <w:szCs w:val="21"/>
        </w:rPr>
        <w:t>此时铃声恢复为</w:t>
      </w:r>
      <w:r>
        <w:rPr>
          <w:rFonts w:asciiTheme="minorEastAsia" w:hAnsiTheme="minorEastAsia" w:eastAsiaTheme="minorEastAsia"/>
          <w:color w:val="auto"/>
          <w:sz w:val="21"/>
          <w:szCs w:val="21"/>
        </w:rPr>
        <w:t>________</w:t>
      </w:r>
      <w:r>
        <w:rPr>
          <w:rFonts w:hint="eastAsia" w:asciiTheme="minorEastAsia" w:hAnsiTheme="minorEastAsia" w:eastAsiaTheme="minorEastAsia"/>
          <w:color w:val="auto"/>
          <w:sz w:val="21"/>
          <w:szCs w:val="21"/>
        </w:rPr>
        <w:t>刺激</w:t>
      </w:r>
      <w:r>
        <w:rPr>
          <w:rFonts w:cs="宋体" w:asciiTheme="minorEastAsia" w:hAnsiTheme="minorEastAsia" w:eastAsiaTheme="minorEastAsia"/>
          <w:color w:val="auto"/>
          <w:sz w:val="21"/>
          <w:szCs w:val="21"/>
        </w:rPr>
        <w:t>。</w:t>
      </w:r>
    </w:p>
    <w:p>
      <w:pPr>
        <w:spacing w:line="276" w:lineRule="auto"/>
        <w:rPr>
          <w:rFonts w:ascii="黑体" w:hAnsi="黑体" w:eastAsia="黑体" w:cs="黑体"/>
          <w:b/>
          <w:bCs/>
          <w:color w:val="auto"/>
          <w:sz w:val="21"/>
          <w:szCs w:val="21"/>
        </w:rPr>
      </w:pPr>
    </w:p>
    <w:p>
      <w:pPr>
        <w:keepNext w:val="0"/>
        <w:keepLines w:val="0"/>
        <w:pageBreakBefore w:val="0"/>
        <w:widowControl w:val="0"/>
        <w:kinsoku/>
        <w:wordWrap/>
        <w:overflowPunct/>
        <w:topLinePunct w:val="0"/>
        <w:autoSpaceDE/>
        <w:autoSpaceDN/>
        <w:bidi w:val="0"/>
        <w:adjustRightInd/>
        <w:spacing w:line="288" w:lineRule="auto"/>
        <w:jc w:val="left"/>
        <w:rPr>
          <w:rFonts w:hint="eastAsia" w:ascii="宋体" w:hAnsi="宋体" w:eastAsia="宋体" w:cs="宋体"/>
          <w:sz w:val="21"/>
          <w:szCs w:val="21"/>
          <w:u w:val="single"/>
          <w:lang w:val="en-US" w:eastAsia="zh-CN"/>
        </w:rPr>
      </w:pPr>
      <w:r>
        <w:rPr>
          <w:rFonts w:hint="eastAsia" w:ascii="黑体" w:hAnsi="黑体" w:eastAsia="黑体" w:cs="黑体"/>
          <w:b/>
          <w:bCs/>
          <w:sz w:val="28"/>
          <w:szCs w:val="28"/>
          <w:lang w:val="en-US" w:eastAsia="zh-CN"/>
        </w:rPr>
        <w:t>【补充习题】                                       作业时长：</w:t>
      </w:r>
      <w:r>
        <w:rPr>
          <w:rFonts w:hint="eastAsia" w:ascii="黑体" w:hAnsi="黑体" w:eastAsia="黑体" w:cs="黑体"/>
          <w:b/>
          <w:bCs/>
          <w:sz w:val="28"/>
          <w:szCs w:val="28"/>
          <w:u w:val="single"/>
          <w:lang w:val="en-US" w:eastAsia="zh-CN"/>
        </w:rPr>
        <w:t>20分钟</w:t>
      </w:r>
    </w:p>
    <w:p>
      <w:pPr>
        <w:spacing w:line="276" w:lineRule="auto"/>
        <w:rPr>
          <w:rFonts w:ascii="宋体" w:hAnsi="宋体" w:cs="宋体"/>
          <w:color w:val="auto"/>
          <w:sz w:val="21"/>
          <w:szCs w:val="21"/>
        </w:rPr>
      </w:pPr>
      <w:r>
        <w:rPr>
          <w:rFonts w:hint="eastAsia" w:ascii="宋体" w:hAnsi="宋体" w:cs="宋体"/>
          <w:color w:val="auto"/>
          <w:sz w:val="21"/>
          <w:szCs w:val="21"/>
        </w:rPr>
        <w:t>一、选择题</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经过一代又一代科学家的探索，最终通过实验证明胚芽鞘弯曲生长是某种化学物质引起的。下列有关温特实验的叙述，错误的是（    ）</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A.鲍森·詹森的实验启发温特用琼脂块收集某种化学物质</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B.与拜耳的实验不同，温特的实验可以在光照条件下进行</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C.设置空白对照组可以排除琼脂块本身对实验结果的影响</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D.温特发现单侧光下胚芽鞘伸长区两侧吲哚乙酸分布不均</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2.下列是探究生长素生理作用的对照实验，有关实验叙述不正确的是（    ）</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355850" cy="833120"/>
            <wp:effectExtent l="0" t="0" r="6350" b="5080"/>
            <wp:docPr id="1664010109" name="图片 1664010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10109" name="图片 1664010109" descr="figure"/>
                    <pic:cNvPicPr>
                      <a:picLocks noChangeAspect="1"/>
                    </pic:cNvPicPr>
                  </pic:nvPicPr>
                  <pic:blipFill>
                    <a:blip r:embed="rId26"/>
                    <a:stretch>
                      <a:fillRect/>
                    </a:stretch>
                  </pic:blipFill>
                  <pic:spPr>
                    <a:xfrm>
                      <a:off x="0" y="0"/>
                      <a:ext cx="2355850" cy="8331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A.该对照实验证明生长素能促进植物生长</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B.该实验不能证明胚芽鞘尖端产生生长素</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C.该实验不能证明感受光刺激的部位在胚芽鞘尖端</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D.若甲、乙在黑暗条件下进行实验则胚芽鞘不能生长</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cs="宋体"/>
          <w:b w:val="0"/>
          <w:bCs w:val="0"/>
          <w:color w:val="000000" w:themeColor="text1"/>
          <w:sz w:val="21"/>
          <w:szCs w:val="21"/>
          <w:u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科学家为了解释植物向光生长的现象提出了两种假说：①单侧光照引起生长素的横向运输，使生长素分布不均而导致弯曲生长；②单侧光照引起向光侧产生生长抑制物而导致弯曲生长。下图表示两位同学为验证某植物向光生长的原因所做的对照实验，下列分析错误的是（　　）</w:t>
      </w:r>
    </w:p>
    <w:p>
      <w:pPr>
        <w:keepNext w:val="0"/>
        <w:keepLines w:val="0"/>
        <w:pageBreakBefore w:val="0"/>
        <w:widowControl w:val="0"/>
        <w:numPr>
          <w:ilvl w:val="0"/>
          <w:numId w:val="0"/>
        </w:numPr>
        <w:kinsoku/>
        <w:wordWrap/>
        <w:overflowPunct/>
        <w:topLinePunct w:val="0"/>
        <w:autoSpaceDE/>
        <w:autoSpaceDN/>
        <w:bidi w:val="0"/>
        <w:adjustRightInd/>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3622675" cy="884555"/>
            <wp:effectExtent l="0" t="0" r="15875" b="10795"/>
            <wp:docPr id="425374189" name="图片 4253741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4189" name="图片 425374189" descr="figure"/>
                    <pic:cNvPicPr>
                      <a:picLocks noChangeAspect="1"/>
                    </pic:cNvPicPr>
                  </pic:nvPicPr>
                  <pic:blipFill>
                    <a:blip r:embed="rId27"/>
                    <a:stretch>
                      <a:fillRect/>
                    </a:stretch>
                  </pic:blipFill>
                  <pic:spPr>
                    <a:xfrm>
                      <a:off x="0" y="0"/>
                      <a:ext cx="3622675" cy="8845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A.若实验一甲、乙两组都向光生长，则说明假说②成立</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B.若实验二甲、乙两组结果无明显差异，则说明假说①成立</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C.若实验一甲直立生长、乙向光生长，则实验二应表现为甲生长速度比乙快</w:t>
      </w:r>
    </w:p>
    <w:p>
      <w:pPr>
        <w:keepNext w:val="0"/>
        <w:keepLines w:val="0"/>
        <w:pageBreakBefore w:val="0"/>
        <w:widowControl w:val="0"/>
        <w:numPr>
          <w:ilvl w:val="0"/>
          <w:numId w:val="0"/>
        </w:numPr>
        <w:kinsoku/>
        <w:wordWrap/>
        <w:overflowPunct/>
        <w:topLinePunct w:val="0"/>
        <w:autoSpaceDE/>
        <w:autoSpaceDN/>
        <w:bidi w:val="0"/>
        <w:adjustRightInd/>
        <w:spacing w:line="300" w:lineRule="auto"/>
        <w:ind w:firstLine="210" w:firstLineChars="100"/>
        <w:jc w:val="both"/>
        <w:textAlignment w:val="auto"/>
        <w:rPr>
          <w:rFonts w:hint="eastAsia" w:ascii="宋体" w:hAnsi="宋体" w:eastAsia="宋体" w:cs="宋体"/>
          <w:sz w:val="21"/>
          <w:szCs w:val="21"/>
          <w:lang w:val="en-US" w:eastAsia="zh-CN"/>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D.若实验一甲、乙两组都向光生长，则实验二应该表现为甲的生长速度比乙慢</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w:t>
      </w:r>
      <w:r>
        <w:rPr>
          <w:rFonts w:hint="eastAsia" w:ascii="宋体" w:hAnsi="宋体" w:eastAsia="宋体" w:cs="宋体"/>
          <w:sz w:val="21"/>
          <w:szCs w:val="21"/>
        </w:rPr>
        <w:t>如图是三位科学家探究植物生长的实验示意图,据图判断下列表述错误的是</w:t>
      </w:r>
      <w:r>
        <w:rPr>
          <w:rFonts w:hint="eastAsia" w:ascii="宋体" w:hAnsi="宋体" w:eastAsia="宋体" w:cs="宋体"/>
          <w:sz w:val="21"/>
          <w:szCs w:val="21"/>
        </w:rPr>
        <w:tab/>
      </w:r>
      <w:r>
        <w:rPr>
          <w:rFonts w:hint="eastAsia" w:ascii="宋体" w:hAnsi="宋体" w:eastAsia="宋体" w:cs="宋体"/>
          <w:sz w:val="21"/>
          <w:szCs w:val="21"/>
        </w:rPr>
        <w:t>(　　)</w:t>
      </w:r>
    </w:p>
    <w:p>
      <w:pPr>
        <w:keepNext w:val="0"/>
        <w:keepLines w:val="0"/>
        <w:pageBreakBefore w:val="0"/>
        <w:widowControl w:val="0"/>
        <w:kinsoku/>
        <w:wordWrap/>
        <w:overflowPunct/>
        <w:topLinePunct w:val="0"/>
        <w:autoSpaceDE/>
        <w:autoSpaceDN/>
        <w:bidi w:val="0"/>
        <w:adjustRightInd/>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100455" cy="979805"/>
            <wp:effectExtent l="0" t="0" r="4445" b="10795"/>
            <wp:docPr id="5" name="20s9-17.jpg" descr="id:214753059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s9-17.jpg" descr="id:2147530595;FounderCES"/>
                    <pic:cNvPicPr>
                      <a:picLocks noChangeAspect="1"/>
                    </pic:cNvPicPr>
                  </pic:nvPicPr>
                  <pic:blipFill>
                    <a:blip r:embed="rId28"/>
                    <a:stretch>
                      <a:fillRect/>
                    </a:stretch>
                  </pic:blipFill>
                  <pic:spPr>
                    <a:xfrm>
                      <a:off x="0" y="0"/>
                      <a:ext cx="1100455" cy="979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鲍森·詹森的实验证明,胚芽鞘尖端产生的影响可以透过琼脂片传递给下部</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拜尔的实验证明,胚芽鞘弯曲生长是因为尖端产生的影响在其下部分布不均匀造成的</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温特实验中如果在切去尖端的胚芽鞘一侧放上没有接触过胚芽鞘尖端的琼脂块,胚芽鞘能够生长但不弯曲</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温特的实验进一步证明胚芽鞘的弯曲生长确实是一种化学物质引起的</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default" w:ascii="宋体" w:hAnsi="宋体" w:eastAsia="宋体" w:cs="宋体"/>
          <w:sz w:val="21"/>
          <w:szCs w:val="21"/>
          <w:lang w:val="en-US"/>
        </w:rPr>
        <w:drawing>
          <wp:anchor distT="0" distB="0" distL="0" distR="0" simplePos="0" relativeHeight="251661312" behindDoc="0" locked="0" layoutInCell="1" allowOverlap="1">
            <wp:simplePos x="0" y="0"/>
            <wp:positionH relativeFrom="column">
              <wp:posOffset>4727575</wp:posOffset>
            </wp:positionH>
            <wp:positionV relativeFrom="paragraph">
              <wp:posOffset>648335</wp:posOffset>
            </wp:positionV>
            <wp:extent cx="1399540" cy="1118870"/>
            <wp:effectExtent l="0" t="0" r="10160" b="5080"/>
            <wp:wrapSquare wrapText="bothSides"/>
            <wp:docPr id="7" name="20s9-19.jpg" descr="id:21475306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s9-19.jpg" descr="id:2147530616;FounderCES"/>
                    <pic:cNvPicPr>
                      <a:picLocks noChangeAspect="1"/>
                    </pic:cNvPicPr>
                  </pic:nvPicPr>
                  <pic:blipFill>
                    <a:blip r:embed="rId29"/>
                    <a:stretch>
                      <a:fillRect/>
                    </a:stretch>
                  </pic:blipFill>
                  <pic:spPr>
                    <a:xfrm>
                      <a:off x="0" y="0"/>
                      <a:ext cx="1399540" cy="1118870"/>
                    </a:xfrm>
                    <a:prstGeom prst="rect">
                      <a:avLst/>
                    </a:prstGeom>
                  </pic:spPr>
                </pic:pic>
              </a:graphicData>
            </a:graphic>
          </wp:anchor>
        </w:drawing>
      </w:r>
      <w:r>
        <w:rPr>
          <w:rFonts w:hint="eastAsia" w:ascii="宋体" w:hAnsi="宋体" w:cs="宋体"/>
          <w:sz w:val="21"/>
          <w:szCs w:val="21"/>
          <w:lang w:val="en-US" w:eastAsia="zh-CN"/>
        </w:rPr>
        <w:t>5</w:t>
      </w:r>
      <w:r>
        <w:rPr>
          <w:rFonts w:hint="eastAsia" w:ascii="宋体" w:hAnsi="宋体" w:eastAsia="宋体" w:cs="宋体"/>
          <w:sz w:val="21"/>
          <w:szCs w:val="21"/>
          <w:lang w:val="en-US" w:eastAsia="zh-CN"/>
        </w:rPr>
        <w:t>.</w:t>
      </w:r>
      <w:r>
        <w:rPr>
          <w:rFonts w:hint="eastAsia" w:ascii="宋体" w:hAnsi="宋体" w:eastAsia="宋体" w:cs="宋体"/>
          <w:sz w:val="21"/>
          <w:szCs w:val="21"/>
        </w:rPr>
        <w:t>1928年,温特(F.W.Went)用实验证明胚芽鞘尖端有一种促进生长的物质,它能扩散到琼脂小方块中,将处理过的小方块放到切去顶端的胚芽鞘切面的一侧,可以引起胚芽鞘向另一侧弯曲生长。如图为温特的实验示意图,下列叙述正确的是</w:t>
      </w:r>
      <w:r>
        <w:rPr>
          <w:rFonts w:hint="eastAsia" w:ascii="宋体" w:hAnsi="宋体" w:eastAsia="宋体" w:cs="宋体"/>
          <w:sz w:val="21"/>
          <w:szCs w:val="21"/>
        </w:rPr>
        <w:tab/>
      </w:r>
      <w:r>
        <w:rPr>
          <w:rFonts w:hint="eastAsia" w:ascii="宋体" w:hAnsi="宋体" w:eastAsia="宋体" w:cs="宋体"/>
          <w:sz w:val="21"/>
          <w:szCs w:val="21"/>
        </w:rPr>
        <w:t>(　　)</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实验中利用琼脂块分离出促进生长的物质并命名为生长素</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分别在黑暗和光照条件下进行实验,实验结果不相同</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需要设置空白对照组,以排除琼脂块对实验结果的影响</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去尖端胚芽鞘弯曲侧细胞的体积和数量均明显大于另一侧</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lang w:val="en-US" w:eastAsia="zh-CN"/>
        </w:rPr>
        <w:t>.</w:t>
      </w:r>
      <w:r>
        <w:rPr>
          <w:rFonts w:hint="eastAsia" w:ascii="宋体" w:hAnsi="宋体" w:eastAsia="宋体" w:cs="宋体"/>
          <w:sz w:val="21"/>
          <w:szCs w:val="21"/>
        </w:rPr>
        <w:t>有关如图所示燕麦胚芽鞘实验的结果预测和原因分析的叙述,正确的是</w:t>
      </w:r>
      <w:r>
        <w:rPr>
          <w:rFonts w:hint="eastAsia" w:ascii="宋体" w:hAnsi="宋体" w:eastAsia="宋体" w:cs="宋体"/>
          <w:sz w:val="21"/>
          <w:szCs w:val="21"/>
        </w:rPr>
        <w:tab/>
      </w:r>
      <w:r>
        <w:rPr>
          <w:rFonts w:hint="eastAsia" w:ascii="宋体" w:hAnsi="宋体" w:eastAsia="宋体" w:cs="宋体"/>
          <w:sz w:val="21"/>
          <w:szCs w:val="21"/>
        </w:rPr>
        <w:t>(　　)</w:t>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0" distR="0" simplePos="0" relativeHeight="251662336" behindDoc="1" locked="0" layoutInCell="1" allowOverlap="1">
            <wp:simplePos x="0" y="0"/>
            <wp:positionH relativeFrom="column">
              <wp:posOffset>1623695</wp:posOffset>
            </wp:positionH>
            <wp:positionV relativeFrom="paragraph">
              <wp:posOffset>70485</wp:posOffset>
            </wp:positionV>
            <wp:extent cx="2743200" cy="1133475"/>
            <wp:effectExtent l="0" t="0" r="0" b="9525"/>
            <wp:wrapTight wrapText="bothSides">
              <wp:wrapPolygon>
                <wp:start x="0" y="0"/>
                <wp:lineTo x="0" y="21418"/>
                <wp:lineTo x="21450" y="21418"/>
                <wp:lineTo x="21450" y="0"/>
                <wp:lineTo x="0" y="0"/>
              </wp:wrapPolygon>
            </wp:wrapTight>
            <wp:docPr id="38" name="20s9-20.jpg" descr="id:214753063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s9-20.jpg" descr="id:2147530630;FounderCES"/>
                    <pic:cNvPicPr>
                      <a:picLocks noChangeAspect="1"/>
                    </pic:cNvPicPr>
                  </pic:nvPicPr>
                  <pic:blipFill>
                    <a:blip r:embed="rId30"/>
                    <a:stretch>
                      <a:fillRect/>
                    </a:stretch>
                  </pic:blipFill>
                  <pic:spPr>
                    <a:xfrm>
                      <a:off x="0" y="0"/>
                      <a:ext cx="2743200" cy="11334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能弯曲生长的胚芽鞘有①②⑤</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①去除光照,与②比较可说明胚芽鞘弯曲生长与生长素分布不均有关</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③的实验结果可证明尖端是感受光刺激部位</w:t>
      </w:r>
    </w:p>
    <w:p>
      <w:pPr>
        <w:keepNext w:val="0"/>
        <w:keepLines w:val="0"/>
        <w:pageBreakBefore w:val="0"/>
        <w:widowControl w:val="0"/>
        <w:kinsoku/>
        <w:wordWrap/>
        <w:overflowPunct/>
        <w:topLinePunct w:val="0"/>
        <w:autoSpaceDE/>
        <w:autoSpaceDN/>
        <w:bidi w:val="0"/>
        <w:adjustRightInd/>
        <w:spacing w:line="30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④直立生长、⑤向光生长,说明生长素能从向光侧扩散到背光一侧</w:t>
      </w:r>
    </w:p>
    <w:p>
      <w:pPr>
        <w:spacing w:after="0"/>
        <w:textAlignment w:val="center"/>
        <w:rPr>
          <w:rFonts w:hint="eastAsia" w:asciiTheme="minorEastAsia" w:hAnsiTheme="minorEastAsia" w:eastAsiaTheme="minorEastAsia"/>
          <w:color w:val="auto"/>
          <w:sz w:val="21"/>
          <w:szCs w:val="21"/>
          <w:lang w:val="en-US" w:eastAsia="zh-CN"/>
        </w:rPr>
      </w:pPr>
      <w:r>
        <w:rPr>
          <w:rFonts w:hint="eastAsia" w:asciiTheme="minorEastAsia" w:hAnsiTheme="minorEastAsia" w:eastAsiaTheme="minorEastAsia"/>
          <w:color w:val="auto"/>
          <w:sz w:val="21"/>
          <w:szCs w:val="21"/>
          <w:lang w:val="en-US" w:eastAsia="zh-CN"/>
        </w:rPr>
        <w:t>二、填空题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Theme="minorEastAsia" w:hAnsiTheme="minorEastAsia" w:eastAsiaTheme="minorEastAsia"/>
          <w:color w:val="auto"/>
          <w:sz w:val="21"/>
          <w:szCs w:val="21"/>
          <w:lang w:val="en-US" w:eastAsia="zh-CN"/>
        </w:rPr>
        <w:t>7.</w:t>
      </w:r>
      <w:r>
        <w:rPr>
          <w:rFonts w:hint="eastAsia" w:ascii="宋体" w:hAnsi="宋体" w:eastAsia="宋体" w:cs="宋体"/>
          <w:sz w:val="21"/>
          <w:szCs w:val="21"/>
        </w:rPr>
        <w:t>某研究小组切取某种植物胚芽鞘的顶端，分成甲、乙两组，按如图所示的方法用琼脂块收集生长素，再将含有生长素的琼脂块置于去顶胚芽鞘切段的一侧，一段时间后，测量胚芽鞘切段的弯曲程度(α角)，测得数据如表，据此回答问题：</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"E:\\吕芳\\2022\\一轮\\生物\\03\\S8-203.TIF"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"E:\\吕芳\\2022\\一轮\\生物\\10\\S8-203.TIF"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"E:\\2022看\\生物\\一轮\\生物 苏教版 江苏专用    芳\\Word\\第八单元　生命活动的调节\\S8-203.TIF"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2624455" cy="749300"/>
            <wp:effectExtent l="0" t="0" r="4445" b="1270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1" r:link="rId32"/>
                    <a:stretch>
                      <a:fillRect/>
                    </a:stretch>
                  </pic:blipFill>
                  <pic:spPr>
                    <a:xfrm>
                      <a:off x="0" y="0"/>
                      <a:ext cx="2624455" cy="74930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085"/>
        <w:gridCol w:w="875"/>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0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分组</w:t>
            </w:r>
          </w:p>
        </w:tc>
        <w:tc>
          <w:tcPr>
            <w:tcW w:w="1085" w:type="dxa"/>
            <w:vMerge w:val="restart"/>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甲</w:t>
            </w:r>
          </w:p>
        </w:tc>
        <w:tc>
          <w:tcPr>
            <w:tcW w:w="1935" w:type="dxa"/>
            <w:gridSpan w:val="2"/>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琼脂块</w:t>
            </w:r>
          </w:p>
        </w:tc>
        <w:tc>
          <w:tcPr>
            <w:tcW w:w="1085" w:type="dxa"/>
            <w:vMerge w:val="continue"/>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p>
        </w:tc>
        <w:tc>
          <w:tcPr>
            <w:tcW w:w="87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左</w:t>
            </w:r>
          </w:p>
        </w:tc>
        <w:tc>
          <w:tcPr>
            <w:tcW w:w="106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α角/度</w:t>
            </w:r>
          </w:p>
        </w:tc>
        <w:tc>
          <w:tcPr>
            <w:tcW w:w="108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20.4</w:t>
            </w:r>
          </w:p>
        </w:tc>
        <w:tc>
          <w:tcPr>
            <w:tcW w:w="875"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9.0</w:t>
            </w:r>
          </w:p>
        </w:tc>
        <w:tc>
          <w:tcPr>
            <w:tcW w:w="1060" w:type="dxa"/>
            <w:shd w:val="clear" w:color="auto" w:fill="auto"/>
            <w:vAlign w:val="center"/>
          </w:tcPr>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9.1</w:t>
            </w:r>
          </w:p>
        </w:tc>
      </w:tr>
    </w:tbl>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(1)生长素在胚芽鞘中的运输属于极性运输，这种运输的方向是______________________。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(2)上图中α角形成的原因是_____________________________________。</w:t>
      </w:r>
    </w:p>
    <w:p>
      <w:pPr>
        <w:pStyle w:val="6"/>
        <w:keepNext w:val="0"/>
        <w:keepLines w:val="0"/>
        <w:pageBreakBefore w:val="0"/>
        <w:widowControl w:val="0"/>
        <w:tabs>
          <w:tab w:val="left" w:pos="3402"/>
        </w:tabs>
        <w:kinsoku/>
        <w:wordWrap/>
        <w:overflowPunct/>
        <w:topLinePunct w:val="0"/>
        <w:autoSpaceDE/>
        <w:autoSpaceDN/>
        <w:bidi w:val="0"/>
        <w:adjustRightInd/>
        <w:snapToGrid w:val="0"/>
        <w:spacing w:line="300" w:lineRule="auto"/>
        <w:textAlignment w:val="auto"/>
        <w:rPr>
          <w:rFonts w:hint="eastAsia" w:ascii="宋体" w:hAnsi="宋体" w:eastAsia="宋体" w:cs="宋体"/>
          <w:sz w:val="21"/>
          <w:szCs w:val="21"/>
        </w:rPr>
      </w:pPr>
      <w:r>
        <w:rPr>
          <w:rFonts w:hint="eastAsia" w:ascii="宋体" w:hAnsi="宋体" w:eastAsia="宋体" w:cs="宋体"/>
          <w:sz w:val="21"/>
          <w:szCs w:val="21"/>
        </w:rPr>
        <w:t>(3)据表可知乙组中左、右两侧的琼脂块所引起的α角基本相同，但小于甲琼脂块所引起的α角，原因是___________________________________________________________。</w:t>
      </w:r>
    </w:p>
    <w:p>
      <w:pPr>
        <w:spacing w:after="0"/>
        <w:textAlignment w:val="center"/>
        <w:rPr>
          <w:rFonts w:asciiTheme="minorEastAsia" w:hAnsiTheme="minorEastAsia" w:eastAsiaTheme="minorEastAsia"/>
          <w:color w:val="auto"/>
          <w:sz w:val="21"/>
          <w:szCs w:val="21"/>
        </w:rPr>
      </w:pPr>
    </w:p>
    <w:sectPr>
      <w:headerReference r:id="rId3" w:type="default"/>
      <w:footerReference r:id="rId4" w:type="default"/>
      <w:pgSz w:w="11906" w:h="16838"/>
      <w:pgMar w:top="1134" w:right="1134" w:bottom="1134" w:left="1134"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ZWY0NzlkMWYzYzQ3NWU3NzlkMDEwOTRjZmFkYmFmZDcifQ=="/>
    <w:docVar w:name="KSO_WPS_MARK_KEY" w:val="88f8dae8-341d-46c9-8a40-af282983ac4d"/>
  </w:docVars>
  <w:rsids>
    <w:rsidRoot w:val="00A5184C"/>
    <w:rsid w:val="001744EC"/>
    <w:rsid w:val="001757BD"/>
    <w:rsid w:val="0024663B"/>
    <w:rsid w:val="004B1F23"/>
    <w:rsid w:val="006621DD"/>
    <w:rsid w:val="007A341C"/>
    <w:rsid w:val="00803084"/>
    <w:rsid w:val="00A5184C"/>
    <w:rsid w:val="00AB166B"/>
    <w:rsid w:val="00AB3368"/>
    <w:rsid w:val="00C30464"/>
    <w:rsid w:val="00DE6431"/>
    <w:rsid w:val="00F919C2"/>
    <w:rsid w:val="00FF317D"/>
    <w:rsid w:val="061E65E2"/>
    <w:rsid w:val="06B3227A"/>
    <w:rsid w:val="08057CE4"/>
    <w:rsid w:val="085B5A9D"/>
    <w:rsid w:val="093A7BD7"/>
    <w:rsid w:val="0ACE470A"/>
    <w:rsid w:val="0E572B19"/>
    <w:rsid w:val="11BA56B1"/>
    <w:rsid w:val="13D8581B"/>
    <w:rsid w:val="140A5C72"/>
    <w:rsid w:val="142E29AB"/>
    <w:rsid w:val="14885D40"/>
    <w:rsid w:val="155B1B3A"/>
    <w:rsid w:val="17371BD5"/>
    <w:rsid w:val="17765D7E"/>
    <w:rsid w:val="18E52255"/>
    <w:rsid w:val="1A554B9E"/>
    <w:rsid w:val="1A5D2682"/>
    <w:rsid w:val="1A740A88"/>
    <w:rsid w:val="1AE72CC9"/>
    <w:rsid w:val="1B0D0C65"/>
    <w:rsid w:val="1B3B49FD"/>
    <w:rsid w:val="258707AD"/>
    <w:rsid w:val="2589436A"/>
    <w:rsid w:val="25AA258F"/>
    <w:rsid w:val="269A5DE1"/>
    <w:rsid w:val="27715CCC"/>
    <w:rsid w:val="27DE6F40"/>
    <w:rsid w:val="29EB2804"/>
    <w:rsid w:val="2A9B5668"/>
    <w:rsid w:val="2C2B1C79"/>
    <w:rsid w:val="2C4864F2"/>
    <w:rsid w:val="2CA54EA9"/>
    <w:rsid w:val="30315074"/>
    <w:rsid w:val="32E6018F"/>
    <w:rsid w:val="33905130"/>
    <w:rsid w:val="342A2556"/>
    <w:rsid w:val="364F4933"/>
    <w:rsid w:val="36947581"/>
    <w:rsid w:val="374F0579"/>
    <w:rsid w:val="389E6399"/>
    <w:rsid w:val="3D9906A6"/>
    <w:rsid w:val="3DA94A83"/>
    <w:rsid w:val="411B08D1"/>
    <w:rsid w:val="44E913C6"/>
    <w:rsid w:val="45C078E0"/>
    <w:rsid w:val="46CB522D"/>
    <w:rsid w:val="49FE5ADB"/>
    <w:rsid w:val="4F697E9B"/>
    <w:rsid w:val="4FB751E5"/>
    <w:rsid w:val="51350630"/>
    <w:rsid w:val="51C11DE5"/>
    <w:rsid w:val="53AC3047"/>
    <w:rsid w:val="553F4092"/>
    <w:rsid w:val="57DA21A3"/>
    <w:rsid w:val="59421AE1"/>
    <w:rsid w:val="5A081158"/>
    <w:rsid w:val="5C9A543F"/>
    <w:rsid w:val="5CF36016"/>
    <w:rsid w:val="601C6248"/>
    <w:rsid w:val="60D42973"/>
    <w:rsid w:val="621F0147"/>
    <w:rsid w:val="64877B87"/>
    <w:rsid w:val="68DA6395"/>
    <w:rsid w:val="69680E18"/>
    <w:rsid w:val="6AD767BB"/>
    <w:rsid w:val="6AD968F4"/>
    <w:rsid w:val="6B5F53E4"/>
    <w:rsid w:val="6BAF637E"/>
    <w:rsid w:val="6E8F5B96"/>
    <w:rsid w:val="6ED749C9"/>
    <w:rsid w:val="6EE3289B"/>
    <w:rsid w:val="6F9C1266"/>
    <w:rsid w:val="755D17F3"/>
    <w:rsid w:val="76B43A47"/>
    <w:rsid w:val="76C13057"/>
    <w:rsid w:val="7D416BBE"/>
    <w:rsid w:val="7DFB5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unhideWhenUsed/>
    <w:qFormat/>
    <w:uiPriority w:val="0"/>
    <w:pPr>
      <w:spacing w:before="100" w:beforeAutospacing="1" w:after="100" w:afterAutospacing="1"/>
      <w:ind w:left="540"/>
    </w:pPr>
    <w:rPr>
      <w:rFonts w:ascii="宋体" w:hAnsi="宋体"/>
      <w:szCs w:val="21"/>
    </w:rPr>
  </w:style>
  <w:style w:type="paragraph" w:styleId="6">
    <w:name w:val="Plain Text"/>
    <w:basedOn w:val="1"/>
    <w:qFormat/>
    <w:uiPriority w:val="0"/>
    <w:pPr>
      <w:widowControl/>
      <w:spacing w:before="60" w:after="60" w:line="288" w:lineRule="auto"/>
      <w:ind w:left="15" w:right="15"/>
      <w:jc w:val="left"/>
    </w:pPr>
    <w:rPr>
      <w:rFonts w:ascii="宋体"/>
      <w:color w:val="000000"/>
      <w:sz w:val="24"/>
    </w:r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cs="Times New Roman"/>
      <w:kern w:val="0"/>
      <w:sz w:val="24"/>
      <w:szCs w:val="24"/>
    </w:rPr>
  </w:style>
  <w:style w:type="paragraph" w:styleId="13">
    <w:name w:val="List Paragraph"/>
    <w:basedOn w:val="1"/>
    <w:qFormat/>
    <w:uiPriority w:val="0"/>
    <w:pPr>
      <w:ind w:firstLine="200" w:firstLineChars="200"/>
    </w:pPr>
  </w:style>
  <w:style w:type="character" w:customStyle="1" w:styleId="14">
    <w:name w:val="纯文本 Char"/>
    <w:basedOn w:val="12"/>
    <w:qFormat/>
    <w:uiPriority w:val="0"/>
    <w:rPr>
      <w:rFonts w:ascii="宋体" w:eastAsia="宋体" w:cs="Courier New"/>
      <w:szCs w:val="21"/>
    </w:rPr>
  </w:style>
  <w:style w:type="paragraph" w:customStyle="1" w:styleId="1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
    <w:name w:val="纯文本_0"/>
    <w:basedOn w:val="15"/>
    <w:qFormat/>
    <w:uiPriority w:val="0"/>
    <w:rPr>
      <w:rFonts w:ascii="宋体" w:hAnsi="Courier New" w:cs="Courier New"/>
      <w:szCs w:val="21"/>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2523TZSW8.TIF" TargetMode="External"/><Relationship Id="rId8" Type="http://schemas.openxmlformats.org/officeDocument/2006/relationships/image" Target="media/image2.png"/><Relationship Id="rId7" Type="http://schemas.openxmlformats.org/officeDocument/2006/relationships/image" Target="256HASW8.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S8-203.TIF" TargetMode="External"/><Relationship Id="rId31" Type="http://schemas.openxmlformats.org/officeDocument/2006/relationships/image" Target="media/image17.pn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2510NTSW4.tif" TargetMode="External"/><Relationship Id="rId22" Type="http://schemas.openxmlformats.org/officeDocument/2006/relationships/image" Target="media/image9.png"/><Relationship Id="rId21" Type="http://schemas.openxmlformats.org/officeDocument/2006/relationships/image" Target="2510NTSW3.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2510NTSW2.tif" TargetMode="External"/><Relationship Id="rId18" Type="http://schemas.openxmlformats.org/officeDocument/2006/relationships/image" Target="media/image7.png"/><Relationship Id="rId17" Type="http://schemas.openxmlformats.org/officeDocument/2006/relationships/image" Target="2510NTSW1.tif" TargetMode="External"/><Relationship Id="rId16" Type="http://schemas.openxmlformats.org/officeDocument/2006/relationships/image" Target="media/image6.png"/><Relationship Id="rId15" Type="http://schemas.openxmlformats.org/officeDocument/2006/relationships/image" Target="256HASW12.TIF" TargetMode="External"/><Relationship Id="rId14" Type="http://schemas.openxmlformats.org/officeDocument/2006/relationships/image" Target="media/image5.png"/><Relationship Id="rId13" Type="http://schemas.openxmlformats.org/officeDocument/2006/relationships/image" Target="256HASW11.TIF" TargetMode="External"/><Relationship Id="rId12" Type="http://schemas.openxmlformats.org/officeDocument/2006/relationships/image" Target="media/image4.png"/><Relationship Id="rId11" Type="http://schemas.openxmlformats.org/officeDocument/2006/relationships/image" Target="2523TZSW9.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5551</Words>
  <Characters>7269</Characters>
  <Lines>61</Lines>
  <Paragraphs>17</Paragraphs>
  <TotalTime>1</TotalTime>
  <ScaleCrop>false</ScaleCrop>
  <LinksUpToDate>false</LinksUpToDate>
  <CharactersWithSpaces>7802</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2020-10-22T02:14:00Z</dcterms:created>
  <dc:creator>PC</dc:creator>
  <cp:lastModifiedBy>刘飞</cp:lastModifiedBy>
  <dcterms:modified xsi:type="dcterms:W3CDTF">2025-04-14T07:14:41Z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AA5CEA2136E64C278FC44353C7524A25</vt:lpwstr>
  </property>
</Properties>
</file>