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黑体"/>
          <w:b/>
          <w:bCs/>
          <w:sz w:val="28"/>
          <w:lang w:val="en-US" w:eastAsia="zh-CN"/>
        </w:rPr>
      </w:pPr>
      <w:r>
        <w:rPr>
          <w:rFonts w:hint="eastAsia" w:ascii="黑体" w:hAnsi="黑体" w:eastAsia="黑体" w:cs="黑体"/>
          <w:b/>
          <w:bCs/>
          <w:sz w:val="28"/>
        </w:rPr>
        <w:t>江苏省仪征中学2024-2025学年度第</w:t>
      </w:r>
      <w:r>
        <w:rPr>
          <w:rFonts w:hint="eastAsia" w:ascii="黑体" w:hAnsi="黑体" w:eastAsia="黑体" w:cs="黑体"/>
          <w:b/>
          <w:bCs/>
          <w:sz w:val="28"/>
          <w:lang w:val="en-US" w:eastAsia="zh-CN"/>
        </w:rPr>
        <w:t>二</w:t>
      </w:r>
      <w:r>
        <w:rPr>
          <w:rFonts w:hint="eastAsia" w:ascii="黑体" w:hAnsi="黑体" w:eastAsia="黑体" w:cs="黑体"/>
          <w:b/>
          <w:bCs/>
          <w:sz w:val="28"/>
        </w:rPr>
        <w:t>学期高二历史提升性练习</w:t>
      </w:r>
      <w:r>
        <w:rPr>
          <w:rFonts w:hint="eastAsia" w:ascii="黑体" w:hAnsi="黑体" w:eastAsia="黑体" w:cs="黑体"/>
          <w:b/>
          <w:bCs/>
          <w:sz w:val="28"/>
          <w:lang w:val="en-US" w:eastAsia="zh-CN"/>
        </w:rPr>
        <w:t>十三</w:t>
      </w:r>
    </w:p>
    <w:p>
      <w:pPr>
        <w:ind w:left="2148"/>
        <w:rPr>
          <w:rFonts w:ascii="楷体" w:hAnsi="楷体" w:eastAsia="楷体"/>
          <w:sz w:val="24"/>
          <w:szCs w:val="24"/>
        </w:rPr>
      </w:pPr>
      <w:r>
        <w:rPr>
          <w:rFonts w:hint="eastAsia" w:ascii="楷体" w:hAnsi="楷体" w:eastAsia="楷体"/>
          <w:sz w:val="24"/>
          <w:szCs w:val="24"/>
        </w:rPr>
        <w:t xml:space="preserve">研制人：秦洪虹   </w:t>
      </w:r>
      <w:r>
        <w:rPr>
          <w:rFonts w:ascii="楷体" w:hAnsi="楷体" w:eastAsia="楷体"/>
          <w:sz w:val="24"/>
          <w:szCs w:val="24"/>
        </w:rPr>
        <w:t xml:space="preserve">           </w:t>
      </w:r>
      <w:r>
        <w:rPr>
          <w:rFonts w:hint="eastAsia" w:ascii="楷体" w:hAnsi="楷体" w:eastAsia="楷体"/>
          <w:sz w:val="24"/>
          <w:szCs w:val="24"/>
        </w:rPr>
        <w:t>审核人：金忠霞</w:t>
      </w:r>
    </w:p>
    <w:p>
      <w:pPr>
        <w:jc w:val="center"/>
        <w:rPr>
          <w:rFonts w:ascii="Times New Roman" w:hAnsi="Times New Roman" w:cs="Times New Roman"/>
          <w:sz w:val="24"/>
          <w:szCs w:val="24"/>
        </w:rPr>
      </w:pPr>
      <w:r>
        <w:rPr>
          <w:rFonts w:hint="eastAsia" w:ascii="楷体" w:hAnsi="楷体" w:eastAsia="楷体" w:cs="楷体"/>
          <w:sz w:val="24"/>
          <w:szCs w:val="24"/>
        </w:rPr>
        <w:t>班级：</w:t>
      </w:r>
      <w:r>
        <w:rPr>
          <w:rFonts w:hint="eastAsia" w:ascii="楷体" w:hAnsi="楷体" w:eastAsia="楷体" w:cs="楷体"/>
          <w:sz w:val="24"/>
          <w:szCs w:val="24"/>
          <w:u w:val="single"/>
        </w:rPr>
        <w:t xml:space="preserve">        </w:t>
      </w:r>
      <w:r>
        <w:rPr>
          <w:rFonts w:hint="eastAsia" w:ascii="楷体" w:hAnsi="楷体" w:eastAsia="楷体" w:cs="楷体"/>
          <w:sz w:val="24"/>
          <w:szCs w:val="24"/>
        </w:rPr>
        <w:t xml:space="preserve"> 姓名：</w:t>
      </w:r>
      <w:r>
        <w:rPr>
          <w:rFonts w:hint="eastAsia" w:ascii="楷体" w:hAnsi="楷体" w:eastAsia="楷体" w:cs="楷体"/>
          <w:sz w:val="24"/>
          <w:szCs w:val="24"/>
          <w:u w:val="single"/>
        </w:rPr>
        <w:t xml:space="preserve">        </w:t>
      </w:r>
      <w:r>
        <w:rPr>
          <w:rFonts w:hint="eastAsia" w:ascii="楷体" w:hAnsi="楷体" w:eastAsia="楷体" w:cs="楷体"/>
          <w:sz w:val="24"/>
          <w:szCs w:val="24"/>
        </w:rPr>
        <w:t>学号：</w:t>
      </w:r>
      <w:r>
        <w:rPr>
          <w:rFonts w:hint="eastAsia" w:ascii="楷体" w:hAnsi="楷体" w:eastAsia="楷体" w:cs="楷体"/>
          <w:sz w:val="24"/>
          <w:szCs w:val="24"/>
          <w:u w:val="single"/>
        </w:rPr>
        <w:t xml:space="preserve">       </w:t>
      </w:r>
      <w:r>
        <w:rPr>
          <w:rFonts w:hint="eastAsia" w:ascii="楷体" w:hAnsi="楷体" w:eastAsia="楷体" w:cs="楷体"/>
          <w:sz w:val="24"/>
          <w:szCs w:val="24"/>
        </w:rPr>
        <w:t>时间：</w:t>
      </w:r>
      <w:r>
        <w:rPr>
          <w:rFonts w:hint="eastAsia" w:ascii="楷体" w:hAnsi="楷体" w:eastAsia="楷体" w:cs="楷体"/>
          <w:sz w:val="24"/>
          <w:szCs w:val="24"/>
          <w:u w:val="single"/>
        </w:rPr>
        <w:t>202</w:t>
      </w:r>
      <w:r>
        <w:rPr>
          <w:rFonts w:hint="eastAsia" w:ascii="楷体" w:hAnsi="楷体" w:eastAsia="楷体" w:cs="楷体"/>
          <w:sz w:val="24"/>
          <w:szCs w:val="24"/>
          <w:u w:val="single"/>
          <w:lang w:val="en-US" w:eastAsia="zh-CN"/>
        </w:rPr>
        <w:t>5</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5</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10</w:t>
      </w:r>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50分钟</w:t>
      </w:r>
    </w:p>
    <w:p>
      <w:pPr>
        <w:pStyle w:val="3"/>
        <w:spacing w:after="0" w:line="240" w:lineRule="auto"/>
        <w:rPr>
          <w:rFonts w:ascii="宋体" w:hAnsi="宋体" w:eastAsia="宋体" w:cs="宋体"/>
          <w:sz w:val="21"/>
          <w:szCs w:val="21"/>
          <w:lang w:eastAsia="zh-CN"/>
        </w:rPr>
      </w:pPr>
    </w:p>
    <w:p>
      <w:pPr>
        <w:widowControl/>
        <w:jc w:val="left"/>
        <w:rPr>
          <w:rFonts w:ascii="宋体" w:hAnsi="宋体" w:cs="宋体"/>
          <w:bCs/>
          <w:kern w:val="0"/>
          <w:szCs w:val="21"/>
        </w:rPr>
      </w:pPr>
      <w:r>
        <w:rPr>
          <w:rFonts w:hint="eastAsia" w:ascii="宋体" w:hAnsi="宋体" w:cs="宋体"/>
          <w:b/>
          <w:kern w:val="0"/>
          <w:szCs w:val="21"/>
        </w:rPr>
        <w:t>一、选择题</w:t>
      </w:r>
      <w:r>
        <w:rPr>
          <w:rFonts w:hint="eastAsia"/>
          <w:b/>
        </w:rPr>
        <w:t>（共16题</w:t>
      </w:r>
      <w:r>
        <w:rPr>
          <w:rFonts w:hint="eastAsia"/>
          <w:b/>
          <w:lang w:eastAsia="zh-CN"/>
        </w:rPr>
        <w:t>，</w:t>
      </w:r>
      <w:r>
        <w:rPr>
          <w:rFonts w:hint="eastAsia"/>
          <w:b/>
        </w:rPr>
        <w:t>每题3分</w:t>
      </w:r>
      <w:r>
        <w:rPr>
          <w:rFonts w:hint="eastAsia"/>
          <w:b/>
          <w:lang w:eastAsia="zh-CN"/>
        </w:rPr>
        <w:t>，</w:t>
      </w:r>
      <w:r>
        <w:rPr>
          <w:rFonts w:hint="eastAsia"/>
          <w:b/>
        </w:rPr>
        <w:t>合计48分）</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1.以择中立宫、中轴对称、主次分明为准则的都邑制度，从5000年前的南佐都邑一直延续至明清；夏商周三代的核心礼器青铜鼎，在后世逐渐演化为鼎形祭器香炉。这折射出中华文明</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A．具有明显的延续性</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B．手工业技艺高度发达</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C．形成多元一体格局</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D．向内凝聚的趋势渐强</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2.放马滩秦简《日书》记载有33种人体病症；周家台秦简《病方及其他》记载了疾病治疗和药物的运用。出土的汉代文献中，医学专辑大量出现。如张家山汉简、马王堆汉基帛书。秦汉时期文献出土</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系统总结了中医药学成就</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 表明经济发展对科技影响突出</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奠定我国临床医学的基础</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 展现了时人对疾病的认知水平</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国家稳定后，秦始皇开始实施以秦朝的都城咸阳为中心，向外扩建交通路网，建成了连通各个区域的交通路网。政府还编制了《行书律》，规定了丞相统筹管理全国范围内的交通运输事务，地方主要由郡守和县令共同负责交通运输。据此可知，秦朝交通建设</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A．促使边疆地区得到有效开发              B．得益于法律制度的建立</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C．渗透着强化中央集权的意图              D．以发展经济为主要目的</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4.明朝中期，南京有“大街小巷，合共起来，大小酒楼有六七百座，茶社有一千余处”，“城里几十条大街、几百条小巷，都是人烟凑集，金粉楼台”。仅铺户行业已有104种，每一个行业有铺户数十个，甚至上百个。这说明南京</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A．是南北商帮云集之地</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B．带动江南工商业发展</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C．手工业分工更为细致</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D．城市经济功能的增强</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清朝建立后，为保护东北“龙兴之地”的风水，于康熙七年下令废止在东北招民试垦政策。咸丰十年，清政府对东北实行局部开禁。不久又开放了吉林西北的草原，从此拉开了大规模移民垦殖的序幕。至1885年，黑龙江呼兰平原已基本开垦。到清末，迁入东北的移民已有1300万。这反映出清政府</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A．合理开发东北资源</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B．积极促进民族的交融</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C．重视保护生态环境   </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D．政策服务于统治需要</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6.下面为1868年签订的《中美续增条约》的部分条款，这反映了清政府</w:t>
      </w:r>
    </w:p>
    <w:tbl>
      <w:tblPr>
        <w:tblStyle w:val="9"/>
        <w:tblW w:w="0" w:type="auto"/>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07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第三条  中美双方可以在通商口岸互派领事官，美国像优待英、一样对待中国。</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第四条  中国人在美国，不得因为中国人信教与美国人不同而欺侮迫害华人。</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第五条  中美两国允许两国人民互相往来，或游历，或贸易，或居住，均属自由。除自愿往来居住外，别有招致之法，均不得准。如有美国人及中国人将中国人强行带往美国或中国人及美国人将美国人强行带往中国，均需照例治罪。</w:t>
            </w:r>
          </w:p>
        </w:tc>
      </w:tr>
    </w:tbl>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A．积极倡导海外移民   </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B．摆脱了不平等条约束缚</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C．近代外交意识增强</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D．有效阻止了列强的侵略</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7.梁启超在1901年的《清议报第一百册祝辞并论报馆之责任及本馆之经历》中写道：“凡欲造成一种新国民者，不可不将其国古来误谬之理想，摧陷廓清，以变其脑质。而欲达此目的，恒须籍他社会之事物理论，输入之而调和之，如南北极之寒流，与赤道之热流，相剂而成新海潮。”由此可见，梁启超</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致力于推动维新变法运动</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 强调引进西学改造中国传统</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促进马克思主义广泛传播</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 倡导全盘否定中国传统文化</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8.1952年，新中国各级政府广泛发动群众，进一步开展禁毒运动，并取得举世瞩目的成果。一年间，全国</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共收到群众举报材料131万件，检举的毒犯有22万多人，有的群众还主动监视毒犯的活动，及时向</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政府反映：有的协助政府查证材料。这场运动</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 A．体现建国初期群众获得参政权               B．说明禁毒运动具有反封建性</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 C．有利于民众对新生政权的认同               D．初次展现中共较强的组织力</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9.下图为2013—2021年中欧班列开行数统计图，据此可知</w:t>
      </w:r>
    </w:p>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2013—2021年中欧班列开行数（单位：次）</w:t>
      </w:r>
    </w:p>
    <w:p>
      <w:pPr>
        <w:spacing w:line="360" w:lineRule="auto"/>
        <w:jc w:val="center"/>
        <w:textAlignment w:val="center"/>
        <w:rPr>
          <w:rFonts w:ascii="宋体" w:hAnsi="宋体"/>
          <w:szCs w:val="21"/>
        </w:rPr>
      </w:pPr>
      <w:r>
        <w:rPr>
          <w:rFonts w:hint="eastAsia" w:ascii="宋体" w:hAnsi="宋体" w:cs="宋体" w:eastAsiaTheme="minorEastAsia"/>
          <w:bCs/>
          <w:kern w:val="0"/>
          <w:sz w:val="21"/>
          <w:szCs w:val="21"/>
          <w:lang w:val="en-US" w:eastAsia="zh-CN" w:bidi="ar-SA"/>
        </w:rPr>
        <w:drawing>
          <wp:anchor distT="0" distB="0" distL="114300" distR="114300" simplePos="0" relativeHeight="251660288" behindDoc="0" locked="0" layoutInCell="1" allowOverlap="1">
            <wp:simplePos x="0" y="0"/>
            <wp:positionH relativeFrom="column">
              <wp:posOffset>254635</wp:posOffset>
            </wp:positionH>
            <wp:positionV relativeFrom="paragraph">
              <wp:posOffset>10795</wp:posOffset>
            </wp:positionV>
            <wp:extent cx="5085080" cy="1929130"/>
            <wp:effectExtent l="0" t="0" r="7620" b="1270"/>
            <wp:wrapSquare wrapText="bothSides"/>
            <wp:docPr id="100011" name="图片 100011" descr="@@@0cf9f8301412482cade184da4ec41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cf9f8301412482cade184da4ec4115b"/>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85080" cy="1929130"/>
                    </a:xfrm>
                    <a:prstGeom prst="rect">
                      <a:avLst/>
                    </a:prstGeom>
                  </pic:spPr>
                </pic:pic>
              </a:graphicData>
            </a:graphic>
          </wp:anchor>
        </w:drawing>
      </w:r>
    </w:p>
    <w:p>
      <w:pPr>
        <w:spacing w:line="360" w:lineRule="auto"/>
        <w:jc w:val="center"/>
        <w:textAlignment w:val="center"/>
        <w:rPr>
          <w:rFonts w:ascii="宋体" w:hAnsi="宋体"/>
          <w:szCs w:val="21"/>
        </w:rPr>
      </w:pPr>
    </w:p>
    <w:p>
      <w:pPr>
        <w:spacing w:line="360" w:lineRule="auto"/>
        <w:jc w:val="center"/>
        <w:textAlignment w:val="center"/>
        <w:rPr>
          <w:rFonts w:ascii="宋体" w:hAnsi="宋体"/>
          <w:szCs w:val="21"/>
        </w:rPr>
      </w:pPr>
    </w:p>
    <w:p>
      <w:pPr>
        <w:spacing w:line="360" w:lineRule="auto"/>
        <w:jc w:val="center"/>
        <w:textAlignment w:val="center"/>
        <w:rPr>
          <w:rFonts w:ascii="宋体" w:hAnsi="宋体"/>
          <w:szCs w:val="21"/>
        </w:rPr>
      </w:pPr>
    </w:p>
    <w:p>
      <w:pPr>
        <w:spacing w:line="360" w:lineRule="auto"/>
        <w:jc w:val="center"/>
        <w:textAlignment w:val="center"/>
        <w:rPr>
          <w:rFonts w:ascii="宋体" w:hAnsi="宋体"/>
          <w:szCs w:val="21"/>
        </w:rPr>
      </w:pPr>
    </w:p>
    <w:p>
      <w:pPr>
        <w:spacing w:line="360" w:lineRule="auto"/>
        <w:jc w:val="center"/>
        <w:textAlignment w:val="center"/>
        <w:rPr>
          <w:rFonts w:hint="eastAsia" w:ascii="宋体" w:hAnsi="宋体"/>
          <w:szCs w:val="21"/>
        </w:rPr>
      </w:pPr>
    </w:p>
    <w:p>
      <w:pPr>
        <w:pStyle w:val="19"/>
        <w:autoSpaceDN w:val="0"/>
        <w:spacing w:line="240" w:lineRule="auto"/>
        <w:rPr>
          <w:rFonts w:hint="eastAsia" w:ascii="宋体" w:hAnsi="宋体" w:cs="宋体" w:eastAsiaTheme="minorEastAsia"/>
          <w:bCs/>
          <w:kern w:val="0"/>
          <w:sz w:val="21"/>
          <w:szCs w:val="21"/>
          <w:lang w:val="en-US" w:eastAsia="zh-CN" w:bidi="ar-SA"/>
        </w:rPr>
      </w:pP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A．物流服务网络已覆盖亚欧大陆全境</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B．交通发展降低运输成本</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C．“一带一路”有利于经济全球化发展</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D．中欧关系持续稳定友好</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10.记载史诗《吉尔伽美什》的不同版本泥版，不仅发现于美索不达米亚，还发现于叙利亚、利凡特和安纳托利亚等地；史诗还被翻译成许多语种，如赫梯语、胡里语等。这说明，《吉尔伽美什》</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所产生的影响的范围较为广泛</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 是世界上现存最古老的史诗</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是研究两河流域史的唯一史料</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 能证实楔形文字的创造过程</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11.下图为古罗马图拉真浴场的平面图。图中洗浴区位于中央，而其周围的房间曾被用于会议厅、演讲厅以及收藏希腊拉丁卷轴的图书馆，市民在这里可以阅读，也可以听演讲、参加讨论等.这反映出古罗马 </w:t>
      </w:r>
    </w:p>
    <w:p>
      <w:pPr>
        <w:spacing w:line="360" w:lineRule="auto"/>
        <w:jc w:val="center"/>
        <w:textAlignment w:val="center"/>
        <w:rPr>
          <w:rFonts w:hint="eastAsia" w:ascii="宋体" w:hAnsi="宋体"/>
          <w:color w:val="000000"/>
        </w:rPr>
      </w:pPr>
      <w:r>
        <w:rPr>
          <w:rFonts w:ascii="宋体" w:hAnsi="宋体"/>
          <w:color w:val="000000"/>
        </w:rPr>
        <w:drawing>
          <wp:inline distT="0" distB="0" distL="0" distR="0">
            <wp:extent cx="3186430" cy="2108200"/>
            <wp:effectExtent l="0" t="0" r="1270" b="0"/>
            <wp:docPr id="8889936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93613" name="图片 7"/>
                    <pic:cNvPicPr>
                      <a:picLocks noChangeAspect="1" noChangeArrowheads="1"/>
                    </pic:cNvPicPr>
                  </pic:nvPicPr>
                  <pic:blipFill>
                    <a:blip r:embed="rId6">
                      <a:extLst>
                        <a:ext uri="{28A0092B-C50C-407E-A947-70E740481C1C}">
                          <a14:useLocalDpi xmlns:a14="http://schemas.microsoft.com/office/drawing/2010/main" val="0"/>
                        </a:ext>
                      </a:extLst>
                    </a:blip>
                    <a:srcRect l="11247" t="33351" r="5145" b="23813"/>
                    <a:stretch>
                      <a:fillRect/>
                    </a:stretch>
                  </pic:blipFill>
                  <pic:spPr>
                    <a:xfrm>
                      <a:off x="0" y="0"/>
                      <a:ext cx="3191043" cy="2111343"/>
                    </a:xfrm>
                    <a:prstGeom prst="rect">
                      <a:avLst/>
                    </a:prstGeom>
                    <a:noFill/>
                    <a:ln>
                      <a:noFill/>
                    </a:ln>
                  </pic:spPr>
                </pic:pic>
              </a:graphicData>
            </a:graphic>
          </wp:inline>
        </w:drawing>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成为后世西方城市建设典范                   B. 公共设施建设助推文化发展</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公共卫生意识获得普遍提高                   D. 城市管道系统发展趋于完备</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12.小明同学在撰写某课题报告时，拟定了下图中三个小标题。该课题最有可能是</w:t>
      </w:r>
    </w:p>
    <w:p>
      <w:pPr>
        <w:spacing w:line="400" w:lineRule="exact"/>
        <w:rPr>
          <w:rFonts w:ascii="宋体" w:hAnsi="宋体"/>
        </w:rPr>
      </w:pPr>
      <w:bookmarkStart w:id="1" w:name="_GoBack"/>
      <w:bookmarkEnd w:id="1"/>
      <w:r>
        <w:rPr>
          <w:rFonts w:ascii="宋体" w:hAnsi="宋体"/>
        </w:rPr>
        <mc:AlternateContent>
          <mc:Choice Requires="wps">
            <w:drawing>
              <wp:anchor distT="0" distB="0" distL="114300" distR="114300" simplePos="0" relativeHeight="251659264" behindDoc="0" locked="0" layoutInCell="1" allowOverlap="1">
                <wp:simplePos x="0" y="0"/>
                <wp:positionH relativeFrom="column">
                  <wp:posOffset>1447800</wp:posOffset>
                </wp:positionH>
                <wp:positionV relativeFrom="paragraph">
                  <wp:posOffset>21590</wp:posOffset>
                </wp:positionV>
                <wp:extent cx="3610610" cy="878205"/>
                <wp:effectExtent l="4445" t="4445" r="17145" b="6350"/>
                <wp:wrapNone/>
                <wp:docPr id="1866274862"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610610" cy="878205"/>
                        </a:xfrm>
                        <a:prstGeom prst="rect">
                          <a:avLst/>
                        </a:prstGeom>
                        <a:noFill/>
                        <a:ln w="9525" cmpd="sng">
                          <a:solidFill>
                            <a:srgbClr val="000000"/>
                          </a:solidFill>
                          <a:miter lim="800000"/>
                        </a:ln>
                        <a:effectLst/>
                      </wps:spPr>
                      <wps:txbx>
                        <w:txbxContent>
                          <w:p>
                            <w:pPr>
                              <w:jc w:val="left"/>
                              <w:rPr>
                                <w:rFonts w:eastAsia="楷体_GB2312"/>
                              </w:rPr>
                            </w:pPr>
                            <w:r>
                              <w:rPr>
                                <w:rFonts w:hint="eastAsia" w:eastAsia="楷体_GB2312"/>
                              </w:rPr>
                              <w:t>（</w:t>
                            </w:r>
                            <w:r>
                              <w:rPr>
                                <w:rFonts w:eastAsia="楷体_GB2312"/>
                              </w:rPr>
                              <w:t>1</w:t>
                            </w:r>
                            <w:r>
                              <w:rPr>
                                <w:rFonts w:hint="eastAsia" w:eastAsia="楷体_GB2312"/>
                              </w:rPr>
                              <w:t>）</w:t>
                            </w:r>
                            <w:r>
                              <w:rPr>
                                <w:rFonts w:eastAsia="楷体_GB2312"/>
                              </w:rPr>
                              <w:t>殷墟、周原、镐京与底比斯的空间同构</w:t>
                            </w:r>
                          </w:p>
                          <w:p>
                            <w:pPr>
                              <w:jc w:val="left"/>
                              <w:rPr>
                                <w:rFonts w:eastAsia="楷体_GB2312"/>
                              </w:rPr>
                            </w:pPr>
                            <w:r>
                              <w:rPr>
                                <w:rFonts w:eastAsia="楷体_GB2312"/>
                              </w:rPr>
                              <w:t>（2）秦汉宫庙陵墓的</w:t>
                            </w:r>
                            <w:r>
                              <w:rPr>
                                <w:rFonts w:hint="eastAsia" w:eastAsia="楷体_GB2312"/>
                              </w:rPr>
                              <w:t>“</w:t>
                            </w:r>
                            <w:r>
                              <w:rPr>
                                <w:rFonts w:eastAsia="楷体_GB2312"/>
                              </w:rPr>
                              <w:t>异域特质</w:t>
                            </w:r>
                            <w:r>
                              <w:rPr>
                                <w:rFonts w:hint="eastAsia" w:eastAsia="楷体_GB2312"/>
                              </w:rPr>
                              <w:t>”</w:t>
                            </w:r>
                          </w:p>
                          <w:p>
                            <w:pPr>
                              <w:jc w:val="left"/>
                              <w:rPr>
                                <w:rFonts w:eastAsia="楷体_GB2312"/>
                              </w:rPr>
                            </w:pPr>
                            <w:r>
                              <w:rPr>
                                <w:rFonts w:eastAsia="楷体_GB2312"/>
                              </w:rPr>
                              <w:t>（3）古埃及建筑文化经由</w:t>
                            </w:r>
                            <w:r>
                              <w:rPr>
                                <w:rFonts w:hint="eastAsia" w:eastAsia="楷体_GB2312"/>
                              </w:rPr>
                              <w:t>“</w:t>
                            </w:r>
                            <w:r>
                              <w:rPr>
                                <w:rFonts w:eastAsia="楷体_GB2312"/>
                              </w:rPr>
                              <w:t>殷商古道</w:t>
                            </w:r>
                            <w:r>
                              <w:rPr>
                                <w:rFonts w:hint="eastAsia" w:eastAsia="楷体_GB2312"/>
                              </w:rPr>
                              <w:t>”“</w:t>
                            </w:r>
                            <w:r>
                              <w:rPr>
                                <w:rFonts w:eastAsia="楷体_GB2312"/>
                              </w:rPr>
                              <w:t>转译</w:t>
                            </w:r>
                            <w:r>
                              <w:rPr>
                                <w:rFonts w:hint="eastAsia" w:eastAsia="楷体_GB2312"/>
                              </w:rPr>
                              <w:t>”</w:t>
                            </w:r>
                            <w:r>
                              <w:rPr>
                                <w:rFonts w:eastAsia="楷体_GB2312"/>
                              </w:rPr>
                              <w:t>而入列岛</w:t>
                            </w:r>
                          </w:p>
                          <w:p>
                            <w:pPr>
                              <w:ind w:left="420" w:hanging="420" w:hangingChars="200"/>
                              <w:jc w:val="left"/>
                              <w:rPr>
                                <w:rFonts w:eastAsia="楷体_GB2312"/>
                              </w:rPr>
                            </w:pPr>
                            <w:r>
                              <w:rPr>
                                <w:rFonts w:eastAsia="楷体_GB2312"/>
                              </w:rPr>
                              <w:t>（古代朝鲜半岛和日本）的可能性</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114pt;margin-top:1.7pt;height:69.15pt;width:284.3pt;z-index:251659264;mso-width-relative:page;mso-height-relative:page;" filled="f" stroked="t" coordsize="21600,21600" o:gfxdata="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laNbW1QAAAAgBAAAPAAAA&#10;AAAAAAEAIAAAACIAAABkcnMvZG93bnJldi54bWxQSwECFAAUAAAACACHTuJA8p1WwVECAACABAAA&#10;DgAAAAAAAAABACAAAAAkAQAAZHJzL2Uyb0RvYy54bWxQSwUGAAAAAAYABgBZAQAA5wUAAAAA&#10;">
                <v:fill on="f" focussize="0,0"/>
                <v:stroke color="#000000" miterlimit="8" joinstyle="miter"/>
                <v:imagedata o:title=""/>
                <o:lock v:ext="edit" aspectratio="f"/>
                <v:textbox>
                  <w:txbxContent>
                    <w:p>
                      <w:pPr>
                        <w:jc w:val="left"/>
                        <w:rPr>
                          <w:rFonts w:eastAsia="楷体_GB2312"/>
                        </w:rPr>
                      </w:pPr>
                      <w:r>
                        <w:rPr>
                          <w:rFonts w:hint="eastAsia" w:eastAsia="楷体_GB2312"/>
                        </w:rPr>
                        <w:t>（</w:t>
                      </w:r>
                      <w:r>
                        <w:rPr>
                          <w:rFonts w:eastAsia="楷体_GB2312"/>
                        </w:rPr>
                        <w:t>1</w:t>
                      </w:r>
                      <w:r>
                        <w:rPr>
                          <w:rFonts w:hint="eastAsia" w:eastAsia="楷体_GB2312"/>
                        </w:rPr>
                        <w:t>）</w:t>
                      </w:r>
                      <w:r>
                        <w:rPr>
                          <w:rFonts w:eastAsia="楷体_GB2312"/>
                        </w:rPr>
                        <w:t>殷墟、周原、镐京与底比斯的空间同构</w:t>
                      </w:r>
                    </w:p>
                    <w:p>
                      <w:pPr>
                        <w:jc w:val="left"/>
                        <w:rPr>
                          <w:rFonts w:eastAsia="楷体_GB2312"/>
                        </w:rPr>
                      </w:pPr>
                      <w:r>
                        <w:rPr>
                          <w:rFonts w:eastAsia="楷体_GB2312"/>
                        </w:rPr>
                        <w:t>（2）秦汉宫庙陵墓的</w:t>
                      </w:r>
                      <w:r>
                        <w:rPr>
                          <w:rFonts w:hint="eastAsia" w:eastAsia="楷体_GB2312"/>
                        </w:rPr>
                        <w:t>“</w:t>
                      </w:r>
                      <w:r>
                        <w:rPr>
                          <w:rFonts w:eastAsia="楷体_GB2312"/>
                        </w:rPr>
                        <w:t>异域特质</w:t>
                      </w:r>
                      <w:r>
                        <w:rPr>
                          <w:rFonts w:hint="eastAsia" w:eastAsia="楷体_GB2312"/>
                        </w:rPr>
                        <w:t>”</w:t>
                      </w:r>
                    </w:p>
                    <w:p>
                      <w:pPr>
                        <w:jc w:val="left"/>
                        <w:rPr>
                          <w:rFonts w:eastAsia="楷体_GB2312"/>
                        </w:rPr>
                      </w:pPr>
                      <w:r>
                        <w:rPr>
                          <w:rFonts w:eastAsia="楷体_GB2312"/>
                        </w:rPr>
                        <w:t>（3）古埃及建筑文化经由</w:t>
                      </w:r>
                      <w:r>
                        <w:rPr>
                          <w:rFonts w:hint="eastAsia" w:eastAsia="楷体_GB2312"/>
                        </w:rPr>
                        <w:t>“</w:t>
                      </w:r>
                      <w:r>
                        <w:rPr>
                          <w:rFonts w:eastAsia="楷体_GB2312"/>
                        </w:rPr>
                        <w:t>殷商古道</w:t>
                      </w:r>
                      <w:r>
                        <w:rPr>
                          <w:rFonts w:hint="eastAsia" w:eastAsia="楷体_GB2312"/>
                        </w:rPr>
                        <w:t>”“</w:t>
                      </w:r>
                      <w:r>
                        <w:rPr>
                          <w:rFonts w:eastAsia="楷体_GB2312"/>
                        </w:rPr>
                        <w:t>转译</w:t>
                      </w:r>
                      <w:r>
                        <w:rPr>
                          <w:rFonts w:hint="eastAsia" w:eastAsia="楷体_GB2312"/>
                        </w:rPr>
                        <w:t>”</w:t>
                      </w:r>
                      <w:r>
                        <w:rPr>
                          <w:rFonts w:eastAsia="楷体_GB2312"/>
                        </w:rPr>
                        <w:t>而入列岛</w:t>
                      </w:r>
                    </w:p>
                    <w:p>
                      <w:pPr>
                        <w:ind w:left="420" w:hanging="420" w:hangingChars="200"/>
                        <w:jc w:val="left"/>
                        <w:rPr>
                          <w:rFonts w:eastAsia="楷体_GB2312"/>
                        </w:rPr>
                      </w:pPr>
                      <w:r>
                        <w:rPr>
                          <w:rFonts w:eastAsia="楷体_GB2312"/>
                        </w:rPr>
                        <w:t>（古代朝鲜半岛和日本）的可能性</w:t>
                      </w:r>
                    </w:p>
                  </w:txbxContent>
                </v:textbox>
              </v:shape>
            </w:pict>
          </mc:Fallback>
        </mc:AlternateContent>
      </w:r>
    </w:p>
    <w:p>
      <w:pPr>
        <w:spacing w:line="400" w:lineRule="exact"/>
        <w:rPr>
          <w:rFonts w:ascii="宋体" w:hAnsi="宋体"/>
        </w:rPr>
      </w:pPr>
    </w:p>
    <w:p>
      <w:pPr>
        <w:spacing w:line="400" w:lineRule="exact"/>
        <w:rPr>
          <w:rFonts w:ascii="宋体" w:hAnsi="宋体"/>
        </w:rPr>
      </w:pPr>
    </w:p>
    <w:p>
      <w:pPr>
        <w:spacing w:line="400" w:lineRule="exact"/>
        <w:rPr>
          <w:rFonts w:hint="eastAsia" w:ascii="宋体" w:hAnsi="宋体"/>
        </w:rPr>
      </w:pP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A．区域文明之间的相通性                       B．不同文化的交融创新 </w:t>
      </w:r>
    </w:p>
    <w:p>
      <w:pPr>
        <w:pStyle w:val="19"/>
        <w:autoSpaceDN w:val="0"/>
        <w:spacing w:line="240" w:lineRule="auto"/>
        <w:rPr>
          <w:rFonts w:hint="eastAsia" w:ascii="宋体" w:hAnsi="宋体" w:cs="宋体" w:eastAsiaTheme="minorEastAsia"/>
          <w:bCs/>
          <w:kern w:val="0"/>
          <w:sz w:val="21"/>
          <w:szCs w:val="21"/>
          <w:lang w:val="en-US" w:eastAsia="zh-CN" w:bidi="ar-SA"/>
        </w:rPr>
      </w:pPr>
      <w:bookmarkStart w:id="0" w:name="_Hlk138074660"/>
      <w:r>
        <w:rPr>
          <w:rFonts w:hint="eastAsia" w:ascii="宋体" w:hAnsi="宋体" w:cs="宋体" w:eastAsiaTheme="minorEastAsia"/>
          <w:bCs/>
          <w:kern w:val="0"/>
          <w:sz w:val="21"/>
          <w:szCs w:val="21"/>
          <w:lang w:val="en-US" w:eastAsia="zh-CN" w:bidi="ar-SA"/>
        </w:rPr>
        <w:t>C．</w:t>
      </w:r>
      <w:bookmarkEnd w:id="0"/>
      <w:r>
        <w:rPr>
          <w:rFonts w:hint="eastAsia" w:ascii="宋体" w:hAnsi="宋体" w:cs="宋体" w:eastAsiaTheme="minorEastAsia"/>
          <w:bCs/>
          <w:kern w:val="0"/>
          <w:sz w:val="21"/>
          <w:szCs w:val="21"/>
          <w:lang w:val="en-US" w:eastAsia="zh-CN" w:bidi="ar-SA"/>
        </w:rPr>
        <w:t xml:space="preserve">东西方文化交流的途径                       D．多元一体的文明格局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13.下图反映的历史现象</w:t>
      </w:r>
    </w:p>
    <w:p>
      <w:pPr>
        <w:spacing w:line="264" w:lineRule="auto"/>
        <w:ind w:left="378" w:hanging="378" w:hangingChars="180"/>
        <w:jc w:val="center"/>
        <w:rPr>
          <w:rFonts w:ascii="宋体" w:hAnsi="宋体"/>
          <w:szCs w:val="21"/>
        </w:rPr>
      </w:pPr>
      <w:r>
        <w:rPr>
          <w:rFonts w:ascii="宋体" w:hAnsi="宋体"/>
          <w:szCs w:val="21"/>
        </w:rPr>
        <w:drawing>
          <wp:inline distT="0" distB="0" distL="0" distR="0">
            <wp:extent cx="4530090" cy="3227705"/>
            <wp:effectExtent l="0" t="0" r="3810" b="10795"/>
            <wp:docPr id="2053345182"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45182" name="图片 4" descr="图片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4538848" cy="3234147"/>
                    </a:xfrm>
                    <a:prstGeom prst="rect">
                      <a:avLst/>
                    </a:prstGeom>
                    <a:noFill/>
                    <a:ln>
                      <a:noFill/>
                    </a:ln>
                    <a:effectLst/>
                  </pic:spPr>
                </pic:pic>
              </a:graphicData>
            </a:graphic>
          </wp:inline>
        </w:drawing>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A．加强了亚欧之间的联系                     B．推动了欧洲社会的转型</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C．导致了罗马帝国的分裂                     D．反映了农业文明的扩张</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14.《复兴与革新》一书中说：“12世纪的文学中产生了许多新因素，一是诗歌对于爱情的理想化追求；二是对基督教统治的无声但激烈的反抗；三是对于爱欲的不同态度。”材料中表述的状况</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击破了基督教会的精神统治</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 体现了资产阶级的政治诉求</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反映了欧洲世俗文学的产生</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 说明了思想解放运动的开展</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15.人类学家麦克法兰提出，18世纪前的英国，人口膨胀，密集群居导致大量疾病传播；从18世纪中叶起，许多疾病减少或消失，人口死亡率下降，他认为这应归功于英国人饮茶习惯的形成；饮茶还避免了大量谷物被用来酿酒的问题。这体现了</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 东方文化对酿造工业的破坏</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 茶叶推动了人口的迅速增长</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 中医中药导致了医疗的革命</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 文化习俗影响着社会的发展</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16．2002年，中共中央国务院决定建立新型农村合作医疗和救助制度；2016年，国务院决定整合城镇居民医保和新农合，建立城乡居民基本医疗保险制度；截至2017年底，全国大多数省份基本实现了覆盖范围、筹资政策等“六统一”。这表明我国医疗制度改革</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A．与经济发展需要相适应</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B．建立起全民免费医疗制度</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C．解决了百姓看病难问题</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D．全面学习了西方福利制度</w:t>
      </w:r>
    </w:p>
    <w:p>
      <w:pPr>
        <w:pStyle w:val="19"/>
        <w:autoSpaceDN w:val="0"/>
        <w:spacing w:line="240" w:lineRule="auto"/>
        <w:rPr>
          <w:rFonts w:hint="eastAsia" w:ascii="宋体" w:hAnsi="宋体" w:cs="宋体" w:eastAsiaTheme="minorEastAsia"/>
          <w:bCs/>
          <w:kern w:val="0"/>
          <w:sz w:val="21"/>
          <w:szCs w:val="21"/>
          <w:lang w:val="en-US" w:eastAsia="zh-CN" w:bidi="ar-SA"/>
        </w:rPr>
      </w:pPr>
    </w:p>
    <w:p>
      <w:pPr>
        <w:numPr>
          <w:ilvl w:val="0"/>
          <w:numId w:val="0"/>
        </w:numPr>
        <w:tabs>
          <w:tab w:val="left" w:pos="4620"/>
        </w:tabs>
        <w:snapToGrid w:val="0"/>
        <w:rPr>
          <w:rFonts w:hint="eastAsia" w:ascii="宋体" w:hAnsi="宋体" w:cs="宋体"/>
          <w:bCs/>
          <w:kern w:val="0"/>
          <w:szCs w:val="21"/>
          <w:lang w:val="en-US" w:eastAsia="zh-CN"/>
        </w:rPr>
      </w:pPr>
      <w:r>
        <w:rPr>
          <w:rFonts w:hint="eastAsia" w:cs="宋体" w:asciiTheme="minorEastAsia" w:hAnsiTheme="minorEastAsia"/>
          <w:b/>
          <w:bCs/>
          <w:color w:val="000000" w:themeColor="text1"/>
          <w:szCs w:val="21"/>
          <w:lang w:val="en-US" w:eastAsia="zh-CN"/>
          <w14:textFill>
            <w14:solidFill>
              <w14:schemeClr w14:val="tx1"/>
            </w14:solidFill>
          </w14:textFill>
        </w:rPr>
        <w:t>二、</w:t>
      </w:r>
      <w:r>
        <w:rPr>
          <w:rFonts w:hint="eastAsia" w:cs="宋体" w:asciiTheme="minorEastAsia" w:hAnsiTheme="minorEastAsia"/>
          <w:b/>
          <w:bCs/>
          <w:color w:val="000000" w:themeColor="text1"/>
          <w:szCs w:val="21"/>
          <w14:textFill>
            <w14:solidFill>
              <w14:schemeClr w14:val="tx1"/>
            </w14:solidFill>
          </w14:textFill>
        </w:rPr>
        <w:t>非选择题</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（14分）17．阅读材料，完成下列要求。</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材料</w:t>
      </w:r>
      <w:r>
        <w:rPr>
          <w:rFonts w:hint="eastAsia" w:ascii="宋体" w:hAnsi="宋体" w:cs="宋体"/>
          <w:bCs/>
          <w:kern w:val="0"/>
          <w:sz w:val="21"/>
          <w:szCs w:val="21"/>
          <w:lang w:val="en-US" w:eastAsia="zh-CN" w:bidi="ar-SA"/>
        </w:rPr>
        <w:t xml:space="preserve">  </w:t>
      </w:r>
      <w:r>
        <w:rPr>
          <w:rFonts w:hint="eastAsia" w:ascii="宋体" w:hAnsi="宋体" w:cs="宋体" w:eastAsiaTheme="minorEastAsia"/>
          <w:bCs/>
          <w:kern w:val="0"/>
          <w:sz w:val="21"/>
          <w:szCs w:val="21"/>
          <w:lang w:val="en-US" w:eastAsia="zh-CN" w:bidi="ar-SA"/>
        </w:rPr>
        <w:t>历史上的茶马古道，以川藏道、滇藏道与青藏道（甘青道）三条大道为主线，与众多的支线、附线构成一个庞大的交通网络。陕甘茶马古道形成于明代，从四川到西北以骆驼为主要运载工具，适应了每年百万斤以上茶叶的贩运需要。明代在元朝驿站体系的基础上，对要津、渡口的管理有所强化。明朝在雅州、碉门设茶马司，据其统计，每年（仅官方贸易）有数百万斤茶叶经川藏茶马古道入藏。明代剧作家汤显祖在《茶马》诗中这样写道：“黑茶一何美，羌马一何殊。”“羌马与黄茶，胡马求金珠。”一批批藏区商旅、贡使沿着茶马古道深入祖国内地；同时，汉、蒙、纳西等民族商人、工匠成群进入藏区，带去了先进的生产技术。尽管明朝未在藏区驻扎一兵一卒，但中央政府却始终与藏区保持密切联系，藏区各部长期归服，心向统一。</w:t>
      </w:r>
    </w:p>
    <w:p>
      <w:pPr>
        <w:keepNext w:val="0"/>
        <w:keepLines w:val="0"/>
        <w:pageBreakBefore w:val="0"/>
        <w:widowControl w:val="0"/>
        <w:kinsoku/>
        <w:wordWrap/>
        <w:overflowPunct/>
        <w:topLinePunct w:val="0"/>
        <w:autoSpaceDE/>
        <w:autoSpaceDN/>
        <w:bidi w:val="0"/>
        <w:adjustRightInd/>
        <w:snapToGrid/>
        <w:spacing w:line="240" w:lineRule="auto"/>
        <w:ind w:firstLine="561"/>
        <w:jc w:val="righ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——摘编自夏克传《堪与“丝绸之路”相媲美的茶马古道》</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(1)根据材料，概括明代茶马古道发展的表现及有利条件。（9分）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(2)根据材料并结合所学知识，分析明代茶马古道发展的意义。（5分）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w:t>
      </w:r>
      <w:r>
        <w:rPr>
          <w:rFonts w:hint="eastAsia" w:ascii="宋体" w:hAnsi="宋体" w:cs="宋体"/>
          <w:bCs/>
          <w:kern w:val="0"/>
          <w:sz w:val="21"/>
          <w:szCs w:val="21"/>
          <w:lang w:val="en-US" w:eastAsia="zh-CN" w:bidi="ar-SA"/>
        </w:rPr>
        <w:t>3</w:t>
      </w:r>
      <w:r>
        <w:rPr>
          <w:rFonts w:hint="eastAsia" w:ascii="宋体" w:hAnsi="宋体" w:cs="宋体" w:eastAsiaTheme="minorEastAsia"/>
          <w:bCs/>
          <w:kern w:val="0"/>
          <w:sz w:val="21"/>
          <w:szCs w:val="21"/>
          <w:lang w:val="en-US" w:eastAsia="zh-CN" w:bidi="ar-SA"/>
        </w:rPr>
        <w:t>分）</w:t>
      </w:r>
      <w:r>
        <w:rPr>
          <w:rFonts w:hint="eastAsia" w:ascii="宋体" w:hAnsi="宋体" w:cs="宋体" w:eastAsiaTheme="minorEastAsia"/>
          <w:bCs/>
          <w:kern w:val="0"/>
          <w:sz w:val="21"/>
          <w:szCs w:val="21"/>
          <w:lang w:val="en-US" w:eastAsia="zh-CN" w:bidi="ar-SA"/>
        </w:rPr>
        <w:t>1</w:t>
      </w:r>
      <w:r>
        <w:rPr>
          <w:rFonts w:hint="eastAsia" w:ascii="宋体" w:hAnsi="宋体" w:cs="宋体"/>
          <w:bCs/>
          <w:kern w:val="0"/>
          <w:sz w:val="21"/>
          <w:szCs w:val="21"/>
          <w:lang w:val="en-US" w:eastAsia="zh-CN" w:bidi="ar-SA"/>
        </w:rPr>
        <w:t>8</w:t>
      </w:r>
      <w:r>
        <w:rPr>
          <w:rFonts w:hint="eastAsia" w:ascii="宋体" w:hAnsi="宋体" w:cs="宋体" w:eastAsiaTheme="minorEastAsia"/>
          <w:bCs/>
          <w:kern w:val="0"/>
          <w:sz w:val="21"/>
          <w:szCs w:val="21"/>
          <w:lang w:val="en-US" w:eastAsia="zh-CN" w:bidi="ar-SA"/>
        </w:rPr>
        <w:t>.阅读材料，完成下列要求。</w:t>
      </w:r>
    </w:p>
    <w:p>
      <w:pPr>
        <w:spacing w:line="360" w:lineRule="auto"/>
        <w:jc w:val="center"/>
        <w:textAlignment w:val="center"/>
        <w:rPr>
          <w:rFonts w:ascii="宋体" w:hAnsi="宋体"/>
        </w:rPr>
      </w:pPr>
      <w:r>
        <w:rPr>
          <w:rFonts w:ascii="宋体" w:hAnsi="宋体"/>
          <w:kern w:val="0"/>
          <w:sz w:val="24"/>
          <w:szCs w:val="24"/>
        </w:rPr>
        <w:drawing>
          <wp:inline distT="0" distB="0" distL="0" distR="0">
            <wp:extent cx="4465955" cy="2785745"/>
            <wp:effectExtent l="0" t="0" r="4445" b="8255"/>
            <wp:docPr id="100003" name="图片 100003" descr="@@@fbc54d0e769743be9323150c73ae8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bc54d0e769743be9323150c73ae894d"/>
                    <pic:cNvPicPr>
                      <a:picLocks noChangeAspect="1"/>
                    </pic:cNvPicPr>
                  </pic:nvPicPr>
                  <pic:blipFill>
                    <a:blip r:embed="rId9"/>
                    <a:stretch>
                      <a:fillRect/>
                    </a:stretch>
                  </pic:blipFill>
                  <pic:spPr>
                    <a:xfrm>
                      <a:off x="0" y="0"/>
                      <a:ext cx="4465955" cy="27857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cs="宋体" w:eastAsiaTheme="minorEastAsia"/>
          <w:bCs/>
          <w:kern w:val="0"/>
          <w:sz w:val="21"/>
          <w:szCs w:val="21"/>
          <w:lang w:val="en-US" w:eastAsia="zh-CN" w:bidi="ar-SA"/>
        </w:rPr>
      </w:pPr>
      <w:r>
        <w:rPr>
          <w:rFonts w:hint="eastAsia" w:ascii="宋体" w:hAnsi="宋体" w:cs="宋体"/>
          <w:bCs/>
          <w:kern w:val="0"/>
          <w:sz w:val="21"/>
          <w:szCs w:val="21"/>
          <w:lang w:val="en-US" w:eastAsia="zh-CN" w:bidi="ar-SA"/>
        </w:rPr>
        <w:t>根</w:t>
      </w:r>
      <w:r>
        <w:rPr>
          <w:rFonts w:hint="eastAsia" w:ascii="宋体" w:hAnsi="宋体" w:cs="宋体" w:eastAsiaTheme="minorEastAsia"/>
          <w:bCs/>
          <w:kern w:val="0"/>
          <w:sz w:val="21"/>
          <w:szCs w:val="21"/>
          <w:lang w:val="en-US" w:eastAsia="zh-CN" w:bidi="ar-SA"/>
        </w:rPr>
        <w:t>据材料和所学，围绕“晚清铁路建设折射出鲜明的时代风貌”进行论述。</w:t>
      </w:r>
      <w:r>
        <w:rPr>
          <w:rFonts w:hint="eastAsia" w:ascii="宋体" w:hAnsi="宋体" w:cs="宋体"/>
          <w:bCs/>
          <w:kern w:val="0"/>
          <w:sz w:val="21"/>
          <w:szCs w:val="21"/>
          <w:lang w:val="en-US" w:eastAsia="zh-CN" w:bidi="ar-SA"/>
        </w:rPr>
        <w:t>（</w:t>
      </w:r>
      <w:r>
        <w:rPr>
          <w:rFonts w:hint="eastAsia" w:ascii="宋体" w:hAnsi="宋体" w:cs="宋体" w:eastAsiaTheme="minorEastAsia"/>
          <w:bCs/>
          <w:kern w:val="0"/>
          <w:sz w:val="21"/>
          <w:szCs w:val="21"/>
          <w:lang w:val="en-US" w:eastAsia="zh-CN" w:bidi="ar-SA"/>
        </w:rPr>
        <w:t>要求：提取信息充分，史论结合，论述全面，逻辑清晰。</w:t>
      </w:r>
      <w:r>
        <w:rPr>
          <w:rFonts w:hint="eastAsia" w:ascii="宋体" w:hAnsi="宋体" w:cs="宋体"/>
          <w:bCs/>
          <w:kern w:val="0"/>
          <w:sz w:val="21"/>
          <w:szCs w:val="21"/>
          <w:lang w:val="en-US" w:eastAsia="zh-CN" w:bidi="ar-SA"/>
        </w:rPr>
        <w:t>）</w:t>
      </w:r>
    </w:p>
    <w:p>
      <w:pPr>
        <w:spacing w:line="400" w:lineRule="exact"/>
        <w:jc w:val="left"/>
        <w:textAlignment w:val="center"/>
        <w:rPr>
          <w:rFonts w:hint="eastAsia" w:ascii="宋体" w:hAnsi="宋体" w:cs="宋体" w:eastAsiaTheme="minorEastAsia"/>
          <w:bCs/>
          <w:kern w:val="0"/>
          <w:sz w:val="21"/>
          <w:szCs w:val="21"/>
          <w:lang w:val="en-US" w:eastAsia="zh-CN" w:bidi="ar-SA"/>
        </w:rPr>
      </w:pPr>
    </w:p>
    <w:p>
      <w:pPr>
        <w:spacing w:line="360" w:lineRule="auto"/>
        <w:jc w:val="left"/>
        <w:textAlignment w:val="center"/>
        <w:rPr>
          <w:rFonts w:ascii="宋体" w:hAnsi="宋体"/>
        </w:rPr>
      </w:pPr>
    </w:p>
    <w:p>
      <w:pPr>
        <w:spacing w:line="360" w:lineRule="auto"/>
        <w:jc w:val="left"/>
        <w:textAlignment w:val="center"/>
        <w:rPr>
          <w:rFonts w:ascii="宋体" w:hAnsi="宋体"/>
        </w:rPr>
      </w:pPr>
    </w:p>
    <w:p>
      <w:pPr>
        <w:pStyle w:val="19"/>
        <w:autoSpaceDN w:val="0"/>
        <w:spacing w:line="240" w:lineRule="auto"/>
        <w:rPr>
          <w:rFonts w:hint="eastAsia" w:ascii="宋体" w:hAnsi="宋体" w:cs="宋体" w:eastAsiaTheme="minorEastAsia"/>
          <w:bCs/>
          <w:kern w:val="0"/>
          <w:sz w:val="21"/>
          <w:szCs w:val="21"/>
          <w:lang w:val="en-US" w:eastAsia="zh-CN" w:bidi="ar-SA"/>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KaiTi_GB2312">
    <w:altName w:val="楷体"/>
    <w:panose1 w:val="02010609060101010101"/>
    <w:charset w:val="86"/>
    <w:family w:val="modern"/>
    <w:pitch w:val="default"/>
    <w:sig w:usb0="00000000" w:usb1="00000000" w:usb2="00000016" w:usb3="00000000" w:csb0="00040001" w:csb1="00000000"/>
  </w:font>
  <w:font w:name="楷体_GB2312">
    <w:altName w:val="楷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6814656"/>
    </w:sdtPr>
    <w:sdtContent>
      <w:p>
        <w:pPr>
          <w:pStyle w:val="6"/>
          <w:jc w:val="center"/>
        </w:pPr>
        <w:r>
          <w:fldChar w:fldCharType="begin"/>
        </w:r>
        <w:r>
          <w:instrText xml:space="preserve">PAGE   \* MERGEFORMAT</w:instrText>
        </w:r>
        <w:r>
          <w:fldChar w:fldCharType="separate"/>
        </w:r>
        <w:r>
          <w:rPr>
            <w:lang w:val="zh-CN"/>
          </w:rPr>
          <w:t>4</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zNDg5YmUzYmE0M2VkY2M3ZWM0Y2UwZmI4ZDkwYmUifQ=="/>
    <w:docVar w:name="KSO_WPS_MARK_KEY" w:val="65283c27-8b8f-4183-a875-1706d6a1c4b3"/>
  </w:docVars>
  <w:rsids>
    <w:rsidRoot w:val="00DD75EA"/>
    <w:rsid w:val="00000807"/>
    <w:rsid w:val="00003D0E"/>
    <w:rsid w:val="000209A9"/>
    <w:rsid w:val="000226E6"/>
    <w:rsid w:val="00023A43"/>
    <w:rsid w:val="00033B7B"/>
    <w:rsid w:val="00050707"/>
    <w:rsid w:val="00066746"/>
    <w:rsid w:val="000860EF"/>
    <w:rsid w:val="00097641"/>
    <w:rsid w:val="000C254F"/>
    <w:rsid w:val="000C2E6E"/>
    <w:rsid w:val="000C6127"/>
    <w:rsid w:val="000D5744"/>
    <w:rsid w:val="000D6171"/>
    <w:rsid w:val="001064CF"/>
    <w:rsid w:val="00111033"/>
    <w:rsid w:val="0015110A"/>
    <w:rsid w:val="001538FC"/>
    <w:rsid w:val="00162002"/>
    <w:rsid w:val="001621D9"/>
    <w:rsid w:val="001629AC"/>
    <w:rsid w:val="0016667B"/>
    <w:rsid w:val="00183599"/>
    <w:rsid w:val="0019002B"/>
    <w:rsid w:val="001A340E"/>
    <w:rsid w:val="001A664B"/>
    <w:rsid w:val="001B1D85"/>
    <w:rsid w:val="001B36B5"/>
    <w:rsid w:val="001D00D3"/>
    <w:rsid w:val="001E1F43"/>
    <w:rsid w:val="001F1409"/>
    <w:rsid w:val="001F5E08"/>
    <w:rsid w:val="00214258"/>
    <w:rsid w:val="00242786"/>
    <w:rsid w:val="002849CF"/>
    <w:rsid w:val="00287076"/>
    <w:rsid w:val="002A0EF5"/>
    <w:rsid w:val="002A3DB9"/>
    <w:rsid w:val="002A41E8"/>
    <w:rsid w:val="002B32AA"/>
    <w:rsid w:val="002C31B0"/>
    <w:rsid w:val="002C5C4F"/>
    <w:rsid w:val="002D14C2"/>
    <w:rsid w:val="002E7179"/>
    <w:rsid w:val="0032109F"/>
    <w:rsid w:val="00326658"/>
    <w:rsid w:val="00340684"/>
    <w:rsid w:val="00340DA2"/>
    <w:rsid w:val="00352F2F"/>
    <w:rsid w:val="003706BB"/>
    <w:rsid w:val="003776BA"/>
    <w:rsid w:val="00395258"/>
    <w:rsid w:val="003A0E8E"/>
    <w:rsid w:val="003A4409"/>
    <w:rsid w:val="003A785D"/>
    <w:rsid w:val="003B2AFE"/>
    <w:rsid w:val="003B522E"/>
    <w:rsid w:val="003C7C0A"/>
    <w:rsid w:val="003D5C81"/>
    <w:rsid w:val="003D6D66"/>
    <w:rsid w:val="003F6261"/>
    <w:rsid w:val="00401F80"/>
    <w:rsid w:val="0042558B"/>
    <w:rsid w:val="00433E23"/>
    <w:rsid w:val="00435DCA"/>
    <w:rsid w:val="00437E5C"/>
    <w:rsid w:val="004516A4"/>
    <w:rsid w:val="004540F9"/>
    <w:rsid w:val="00464543"/>
    <w:rsid w:val="004717E9"/>
    <w:rsid w:val="0047703A"/>
    <w:rsid w:val="004A58F3"/>
    <w:rsid w:val="004A7273"/>
    <w:rsid w:val="004D523F"/>
    <w:rsid w:val="004F0A52"/>
    <w:rsid w:val="00513E8B"/>
    <w:rsid w:val="00517B80"/>
    <w:rsid w:val="00522714"/>
    <w:rsid w:val="0052763D"/>
    <w:rsid w:val="00530155"/>
    <w:rsid w:val="005505FA"/>
    <w:rsid w:val="00561FE0"/>
    <w:rsid w:val="00575249"/>
    <w:rsid w:val="005815C3"/>
    <w:rsid w:val="00586A56"/>
    <w:rsid w:val="005B505D"/>
    <w:rsid w:val="005C3BB2"/>
    <w:rsid w:val="005F17E0"/>
    <w:rsid w:val="005F77A9"/>
    <w:rsid w:val="006263DC"/>
    <w:rsid w:val="00630A32"/>
    <w:rsid w:val="00645E9D"/>
    <w:rsid w:val="006640D4"/>
    <w:rsid w:val="00666FE1"/>
    <w:rsid w:val="006677E3"/>
    <w:rsid w:val="00672DE4"/>
    <w:rsid w:val="00674FC8"/>
    <w:rsid w:val="006765AF"/>
    <w:rsid w:val="00683C36"/>
    <w:rsid w:val="006913C3"/>
    <w:rsid w:val="006A7BFA"/>
    <w:rsid w:val="006C2AC7"/>
    <w:rsid w:val="006C45A0"/>
    <w:rsid w:val="006C7294"/>
    <w:rsid w:val="006E5801"/>
    <w:rsid w:val="006F1021"/>
    <w:rsid w:val="006F53FD"/>
    <w:rsid w:val="00722CD0"/>
    <w:rsid w:val="00732473"/>
    <w:rsid w:val="007476D2"/>
    <w:rsid w:val="0075473C"/>
    <w:rsid w:val="00762C4F"/>
    <w:rsid w:val="007806DB"/>
    <w:rsid w:val="007A6211"/>
    <w:rsid w:val="007B7DA6"/>
    <w:rsid w:val="007F502C"/>
    <w:rsid w:val="00844C6B"/>
    <w:rsid w:val="008579D1"/>
    <w:rsid w:val="00860176"/>
    <w:rsid w:val="00862FAB"/>
    <w:rsid w:val="00870AD3"/>
    <w:rsid w:val="008726F4"/>
    <w:rsid w:val="00876F2B"/>
    <w:rsid w:val="00884412"/>
    <w:rsid w:val="008949BD"/>
    <w:rsid w:val="008A2359"/>
    <w:rsid w:val="008C1E88"/>
    <w:rsid w:val="008C3960"/>
    <w:rsid w:val="008E51AA"/>
    <w:rsid w:val="008F6800"/>
    <w:rsid w:val="00940A5E"/>
    <w:rsid w:val="00971314"/>
    <w:rsid w:val="0098213D"/>
    <w:rsid w:val="00992410"/>
    <w:rsid w:val="00992B48"/>
    <w:rsid w:val="00992B92"/>
    <w:rsid w:val="00996D4E"/>
    <w:rsid w:val="009A14F5"/>
    <w:rsid w:val="009B2358"/>
    <w:rsid w:val="009B4490"/>
    <w:rsid w:val="009B7634"/>
    <w:rsid w:val="009D31FE"/>
    <w:rsid w:val="00A12869"/>
    <w:rsid w:val="00A26197"/>
    <w:rsid w:val="00A300BC"/>
    <w:rsid w:val="00A37066"/>
    <w:rsid w:val="00A5330C"/>
    <w:rsid w:val="00A6630D"/>
    <w:rsid w:val="00A86791"/>
    <w:rsid w:val="00AA3987"/>
    <w:rsid w:val="00B01A82"/>
    <w:rsid w:val="00B1659A"/>
    <w:rsid w:val="00B16FF4"/>
    <w:rsid w:val="00B448BC"/>
    <w:rsid w:val="00B450F4"/>
    <w:rsid w:val="00B52187"/>
    <w:rsid w:val="00B74B40"/>
    <w:rsid w:val="00B84CCC"/>
    <w:rsid w:val="00BA1859"/>
    <w:rsid w:val="00BC2CD5"/>
    <w:rsid w:val="00BC7A33"/>
    <w:rsid w:val="00C0231F"/>
    <w:rsid w:val="00C23725"/>
    <w:rsid w:val="00C433CF"/>
    <w:rsid w:val="00C64CDD"/>
    <w:rsid w:val="00C934CF"/>
    <w:rsid w:val="00CA35EF"/>
    <w:rsid w:val="00CA7C05"/>
    <w:rsid w:val="00CB1DFD"/>
    <w:rsid w:val="00CC022B"/>
    <w:rsid w:val="00CD4C95"/>
    <w:rsid w:val="00CD539D"/>
    <w:rsid w:val="00CE1180"/>
    <w:rsid w:val="00CE3147"/>
    <w:rsid w:val="00D06B5E"/>
    <w:rsid w:val="00D421E5"/>
    <w:rsid w:val="00D46493"/>
    <w:rsid w:val="00D53F42"/>
    <w:rsid w:val="00D619CB"/>
    <w:rsid w:val="00D65014"/>
    <w:rsid w:val="00D77CC4"/>
    <w:rsid w:val="00D95E74"/>
    <w:rsid w:val="00DA3143"/>
    <w:rsid w:val="00DA6440"/>
    <w:rsid w:val="00DA765A"/>
    <w:rsid w:val="00DD63D1"/>
    <w:rsid w:val="00DD75EA"/>
    <w:rsid w:val="00E000CE"/>
    <w:rsid w:val="00E0358E"/>
    <w:rsid w:val="00E100AC"/>
    <w:rsid w:val="00E166E4"/>
    <w:rsid w:val="00E60DBE"/>
    <w:rsid w:val="00E8387A"/>
    <w:rsid w:val="00E93028"/>
    <w:rsid w:val="00EA0724"/>
    <w:rsid w:val="00EA24C6"/>
    <w:rsid w:val="00EB2537"/>
    <w:rsid w:val="00EC40FE"/>
    <w:rsid w:val="00F03DEE"/>
    <w:rsid w:val="00F0644F"/>
    <w:rsid w:val="00F350F2"/>
    <w:rsid w:val="00F41E46"/>
    <w:rsid w:val="00F42EE8"/>
    <w:rsid w:val="00F61B4B"/>
    <w:rsid w:val="00F648BC"/>
    <w:rsid w:val="00F70228"/>
    <w:rsid w:val="00F7290A"/>
    <w:rsid w:val="00F777F9"/>
    <w:rsid w:val="00F96F7D"/>
    <w:rsid w:val="00FA33C8"/>
    <w:rsid w:val="00FA604C"/>
    <w:rsid w:val="00FC1754"/>
    <w:rsid w:val="00FC7655"/>
    <w:rsid w:val="00FD5C5D"/>
    <w:rsid w:val="00FE43DE"/>
    <w:rsid w:val="00FE4825"/>
    <w:rsid w:val="00FF3FF6"/>
    <w:rsid w:val="0116312F"/>
    <w:rsid w:val="01BF2827"/>
    <w:rsid w:val="01E70B9F"/>
    <w:rsid w:val="020A533B"/>
    <w:rsid w:val="02357803"/>
    <w:rsid w:val="02881678"/>
    <w:rsid w:val="03032638"/>
    <w:rsid w:val="03E372CB"/>
    <w:rsid w:val="05C33CCA"/>
    <w:rsid w:val="06AA08C2"/>
    <w:rsid w:val="06F636A4"/>
    <w:rsid w:val="07BE3D15"/>
    <w:rsid w:val="081F643A"/>
    <w:rsid w:val="094B3863"/>
    <w:rsid w:val="09BB4FB7"/>
    <w:rsid w:val="0CC02688"/>
    <w:rsid w:val="0D84493F"/>
    <w:rsid w:val="0DB24C72"/>
    <w:rsid w:val="0DD759F4"/>
    <w:rsid w:val="0EC22051"/>
    <w:rsid w:val="0F207965"/>
    <w:rsid w:val="1006341A"/>
    <w:rsid w:val="10084621"/>
    <w:rsid w:val="10B347B5"/>
    <w:rsid w:val="13B80076"/>
    <w:rsid w:val="13E62E35"/>
    <w:rsid w:val="14EF06F6"/>
    <w:rsid w:val="1607540D"/>
    <w:rsid w:val="173664F2"/>
    <w:rsid w:val="19F747BA"/>
    <w:rsid w:val="1A1A5DD2"/>
    <w:rsid w:val="1A51364F"/>
    <w:rsid w:val="1AF05866"/>
    <w:rsid w:val="1BD80B3A"/>
    <w:rsid w:val="1C3C407B"/>
    <w:rsid w:val="1C8E248C"/>
    <w:rsid w:val="1E696309"/>
    <w:rsid w:val="1F136AA8"/>
    <w:rsid w:val="2053578C"/>
    <w:rsid w:val="20B93CDD"/>
    <w:rsid w:val="21E31EE2"/>
    <w:rsid w:val="224A55CB"/>
    <w:rsid w:val="25DC5E46"/>
    <w:rsid w:val="278953A3"/>
    <w:rsid w:val="2929534F"/>
    <w:rsid w:val="29DA556C"/>
    <w:rsid w:val="2BF00744"/>
    <w:rsid w:val="2C3B7059"/>
    <w:rsid w:val="2CCF1D70"/>
    <w:rsid w:val="2DFB406F"/>
    <w:rsid w:val="2E450D6E"/>
    <w:rsid w:val="2E965D2F"/>
    <w:rsid w:val="30F445E1"/>
    <w:rsid w:val="32062834"/>
    <w:rsid w:val="35972A85"/>
    <w:rsid w:val="35FC7E3E"/>
    <w:rsid w:val="36153997"/>
    <w:rsid w:val="36911CE7"/>
    <w:rsid w:val="36FA2E70"/>
    <w:rsid w:val="37283058"/>
    <w:rsid w:val="37BF6A7B"/>
    <w:rsid w:val="381912C4"/>
    <w:rsid w:val="397222E0"/>
    <w:rsid w:val="3AAA3936"/>
    <w:rsid w:val="3B791858"/>
    <w:rsid w:val="3C04482D"/>
    <w:rsid w:val="3C5724DC"/>
    <w:rsid w:val="3DB8735D"/>
    <w:rsid w:val="3EFB760D"/>
    <w:rsid w:val="400131E3"/>
    <w:rsid w:val="402777BB"/>
    <w:rsid w:val="403748CC"/>
    <w:rsid w:val="41831BE9"/>
    <w:rsid w:val="4205562C"/>
    <w:rsid w:val="44BA514C"/>
    <w:rsid w:val="45473785"/>
    <w:rsid w:val="45763769"/>
    <w:rsid w:val="45E37EBF"/>
    <w:rsid w:val="46BD28C6"/>
    <w:rsid w:val="48BF44EB"/>
    <w:rsid w:val="48E749F3"/>
    <w:rsid w:val="4B21657D"/>
    <w:rsid w:val="4B3149DB"/>
    <w:rsid w:val="4B560A3D"/>
    <w:rsid w:val="4BDF4E71"/>
    <w:rsid w:val="4C22343F"/>
    <w:rsid w:val="4C72630D"/>
    <w:rsid w:val="4C731E5C"/>
    <w:rsid w:val="4D804B86"/>
    <w:rsid w:val="508036FB"/>
    <w:rsid w:val="50834975"/>
    <w:rsid w:val="509413EB"/>
    <w:rsid w:val="50F3182D"/>
    <w:rsid w:val="5233759F"/>
    <w:rsid w:val="523D01FF"/>
    <w:rsid w:val="531A47AB"/>
    <w:rsid w:val="53562642"/>
    <w:rsid w:val="555F1645"/>
    <w:rsid w:val="57F2715C"/>
    <w:rsid w:val="584C23CD"/>
    <w:rsid w:val="5A056D7B"/>
    <w:rsid w:val="5AAF7AC9"/>
    <w:rsid w:val="5C911059"/>
    <w:rsid w:val="5CCE63AA"/>
    <w:rsid w:val="5D396778"/>
    <w:rsid w:val="5DAB25D9"/>
    <w:rsid w:val="6004268F"/>
    <w:rsid w:val="603B2849"/>
    <w:rsid w:val="63D6054F"/>
    <w:rsid w:val="65425FF6"/>
    <w:rsid w:val="660C0899"/>
    <w:rsid w:val="663C1D0B"/>
    <w:rsid w:val="68E2489D"/>
    <w:rsid w:val="692E3F76"/>
    <w:rsid w:val="69881695"/>
    <w:rsid w:val="6A3521BF"/>
    <w:rsid w:val="6A3D40D1"/>
    <w:rsid w:val="6AE755AA"/>
    <w:rsid w:val="6B291B28"/>
    <w:rsid w:val="6BF20B4C"/>
    <w:rsid w:val="6E761971"/>
    <w:rsid w:val="6F3A7F32"/>
    <w:rsid w:val="6F971D37"/>
    <w:rsid w:val="6FBB3090"/>
    <w:rsid w:val="6FC01CEA"/>
    <w:rsid w:val="71127B9B"/>
    <w:rsid w:val="72CF7BE5"/>
    <w:rsid w:val="73272CFD"/>
    <w:rsid w:val="736E3CDB"/>
    <w:rsid w:val="7377799E"/>
    <w:rsid w:val="750C7A09"/>
    <w:rsid w:val="777C16D9"/>
    <w:rsid w:val="7A3031E0"/>
    <w:rsid w:val="7C875015"/>
    <w:rsid w:val="7D8E7126"/>
    <w:rsid w:val="7E2A4F5F"/>
    <w:rsid w:val="7ECB4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23"/>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6"/>
    <w:unhideWhenUsed/>
    <w:qFormat/>
    <w:uiPriority w:val="99"/>
    <w:pPr>
      <w:widowControl/>
      <w:spacing w:after="120" w:line="276" w:lineRule="auto"/>
      <w:jc w:val="left"/>
    </w:pPr>
    <w:rPr>
      <w:rFonts w:ascii="微软雅黑" w:hAnsi="微软雅黑" w:eastAsia="微软雅黑"/>
      <w:kern w:val="0"/>
      <w:sz w:val="22"/>
      <w:lang w:eastAsia="en-US"/>
    </w:rPr>
  </w:style>
  <w:style w:type="paragraph" w:styleId="4">
    <w:name w:val="Plain Text"/>
    <w:basedOn w:val="1"/>
    <w:link w:val="15"/>
    <w:unhideWhenUsed/>
    <w:qFormat/>
    <w:uiPriority w:val="99"/>
    <w:rPr>
      <w:rFonts w:ascii="宋体" w:hAnsi="Courier New" w:eastAsia="宋体" w:cs="Courier New"/>
      <w:szCs w:val="21"/>
    </w:rPr>
  </w:style>
  <w:style w:type="paragraph" w:styleId="5">
    <w:name w:val="Balloon Text"/>
    <w:basedOn w:val="1"/>
    <w:link w:val="17"/>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Autospacing="1" w:afterAutospacing="1"/>
      <w:jc w:val="left"/>
    </w:pPr>
    <w:rPr>
      <w:rFonts w:eastAsia="黑体" w:cs="Times New Roman"/>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0"/>
    <w:rPr>
      <w:b/>
    </w:rPr>
  </w:style>
  <w:style w:type="character" w:customStyle="1" w:styleId="13">
    <w:name w:val="页眉 Char"/>
    <w:basedOn w:val="11"/>
    <w:link w:val="7"/>
    <w:qFormat/>
    <w:uiPriority w:val="99"/>
    <w:rPr>
      <w:sz w:val="18"/>
      <w:szCs w:val="18"/>
    </w:rPr>
  </w:style>
  <w:style w:type="character" w:customStyle="1" w:styleId="14">
    <w:name w:val="页脚 Char"/>
    <w:basedOn w:val="11"/>
    <w:link w:val="6"/>
    <w:qFormat/>
    <w:uiPriority w:val="99"/>
    <w:rPr>
      <w:sz w:val="18"/>
      <w:szCs w:val="18"/>
    </w:rPr>
  </w:style>
  <w:style w:type="character" w:customStyle="1" w:styleId="15">
    <w:name w:val="纯文本 Char"/>
    <w:basedOn w:val="11"/>
    <w:link w:val="4"/>
    <w:qFormat/>
    <w:uiPriority w:val="99"/>
    <w:rPr>
      <w:rFonts w:ascii="宋体" w:hAnsi="Courier New" w:eastAsia="宋体" w:cs="Courier New"/>
      <w:szCs w:val="21"/>
    </w:rPr>
  </w:style>
  <w:style w:type="character" w:customStyle="1" w:styleId="16">
    <w:name w:val="正文文本 Char"/>
    <w:basedOn w:val="11"/>
    <w:link w:val="3"/>
    <w:qFormat/>
    <w:uiPriority w:val="99"/>
    <w:rPr>
      <w:rFonts w:ascii="微软雅黑" w:hAnsi="微软雅黑" w:eastAsia="微软雅黑"/>
      <w:kern w:val="0"/>
      <w:sz w:val="22"/>
      <w:lang w:eastAsia="en-US"/>
    </w:rPr>
  </w:style>
  <w:style w:type="character" w:customStyle="1" w:styleId="17">
    <w:name w:val="批注框文本 Char"/>
    <w:basedOn w:val="11"/>
    <w:link w:val="5"/>
    <w:semiHidden/>
    <w:qFormat/>
    <w:uiPriority w:val="99"/>
    <w:rPr>
      <w:sz w:val="18"/>
      <w:szCs w:val="18"/>
    </w:rPr>
  </w:style>
  <w:style w:type="paragraph" w:customStyle="1" w:styleId="18">
    <w:name w:val="试卷-单选题-试题-题目"/>
    <w:basedOn w:val="1"/>
    <w:qFormat/>
    <w:uiPriority w:val="0"/>
    <w:pPr>
      <w:spacing w:line="360" w:lineRule="auto"/>
      <w:jc w:val="left"/>
    </w:pPr>
    <w:rPr>
      <w:rFonts w:ascii="Times New Roman" w:hAnsi="Times New Roman" w:eastAsia="宋体" w:cs="Times New Roman"/>
      <w:szCs w:val="20"/>
    </w:rPr>
  </w:style>
  <w:style w:type="paragraph" w:customStyle="1" w:styleId="19">
    <w:name w:val="试卷-单选题-试题-答案"/>
    <w:basedOn w:val="1"/>
    <w:qFormat/>
    <w:uiPriority w:val="0"/>
    <w:pPr>
      <w:spacing w:line="360" w:lineRule="auto"/>
    </w:pPr>
    <w:rPr>
      <w:rFonts w:ascii="Times New Roman" w:hAnsi="Times New Roman" w:eastAsia="宋体" w:cs="Times New Roman"/>
      <w:szCs w:val="20"/>
    </w:rPr>
  </w:style>
  <w:style w:type="paragraph" w:customStyle="1" w:styleId="20">
    <w:name w:val="试题-答案-普通"/>
    <w:basedOn w:val="1"/>
    <w:qFormat/>
    <w:uiPriority w:val="0"/>
    <w:pPr>
      <w:spacing w:line="360" w:lineRule="auto"/>
      <w:jc w:val="left"/>
    </w:pPr>
    <w:rPr>
      <w:rFonts w:ascii="Times New Roman" w:hAnsi="Times New Roman" w:eastAsia="宋体" w:cs="Times New Roman"/>
      <w:szCs w:val="20"/>
    </w:rPr>
  </w:style>
  <w:style w:type="paragraph" w:customStyle="1" w:styleId="21">
    <w:name w:val="题干"/>
    <w:basedOn w:val="1"/>
    <w:qFormat/>
    <w:uiPriority w:val="0"/>
    <w:pPr>
      <w:widowControl/>
      <w:tabs>
        <w:tab w:val="left" w:pos="2100"/>
      </w:tabs>
      <w:spacing w:line="360" w:lineRule="auto"/>
      <w:ind w:left="150" w:hanging="150" w:hangingChars="150"/>
      <w:jc w:val="left"/>
      <w:textAlignment w:val="center"/>
    </w:pPr>
    <w:rPr>
      <w:rFonts w:ascii="宋体" w:hAnsi="宋体" w:eastAsia="宋体" w:cs="Times New Roman"/>
      <w:kern w:val="0"/>
      <w:sz w:val="20"/>
      <w:szCs w:val="21"/>
    </w:rPr>
  </w:style>
  <w:style w:type="paragraph" w:styleId="22">
    <w:name w:val="List Paragraph"/>
    <w:basedOn w:val="1"/>
    <w:qFormat/>
    <w:uiPriority w:val="34"/>
    <w:pPr>
      <w:ind w:firstLine="420" w:firstLineChars="200"/>
    </w:pPr>
  </w:style>
  <w:style w:type="character" w:customStyle="1" w:styleId="23">
    <w:name w:val="标题 3 Char"/>
    <w:basedOn w:val="11"/>
    <w:link w:val="2"/>
    <w:semiHidden/>
    <w:qFormat/>
    <w:uiPriority w:val="9"/>
    <w:rPr>
      <w:b/>
      <w:bCs/>
      <w:sz w:val="32"/>
      <w:szCs w:val="32"/>
    </w:rPr>
  </w:style>
  <w:style w:type="paragraph" w:customStyle="1" w:styleId="24">
    <w:name w:val="试卷-材料题-试题-标题"/>
    <w:basedOn w:val="1"/>
    <w:qFormat/>
    <w:uiPriority w:val="0"/>
    <w:pPr>
      <w:jc w:val="left"/>
    </w:pPr>
    <w:rPr>
      <w:rFonts w:ascii="宋体" w:hAnsi="宋体"/>
    </w:rPr>
  </w:style>
  <w:style w:type="paragraph" w:customStyle="1" w:styleId="25">
    <w:name w:val="试卷-材料题-试题-材料-标题"/>
    <w:basedOn w:val="1"/>
    <w:qFormat/>
    <w:uiPriority w:val="0"/>
    <w:pPr>
      <w:ind w:firstLine="4830" w:firstLineChars="2300"/>
      <w:jc w:val="left"/>
    </w:pPr>
    <w:rPr>
      <w:rFonts w:ascii="楷体" w:hAnsi="楷体" w:eastAsia="楷体"/>
    </w:rPr>
  </w:style>
  <w:style w:type="paragraph" w:customStyle="1" w:styleId="26">
    <w:name w:val="试卷-材料题-试题-材料-正文"/>
    <w:basedOn w:val="1"/>
    <w:qFormat/>
    <w:uiPriority w:val="0"/>
    <w:pPr>
      <w:spacing w:line="360" w:lineRule="auto"/>
      <w:ind w:firstLine="420" w:firstLineChars="200"/>
    </w:pPr>
    <w:rPr>
      <w:rFonts w:eastAsia="KaiTi_GB2312"/>
    </w:rPr>
  </w:style>
  <w:style w:type="paragraph" w:customStyle="1" w:styleId="27">
    <w:name w:val="试卷-材料题-试题-材料-引自"/>
    <w:basedOn w:val="1"/>
    <w:qFormat/>
    <w:uiPriority w:val="0"/>
    <w:pPr>
      <w:spacing w:line="360" w:lineRule="auto"/>
      <w:ind w:left="420" w:leftChars="200"/>
      <w:jc w:val="right"/>
    </w:pPr>
    <w:rPr>
      <w:rFonts w:eastAsia="楷体_GB2312"/>
    </w:rPr>
  </w:style>
  <w:style w:type="paragraph" w:customStyle="1" w:styleId="28">
    <w:name w:val="试卷-材料题-试题-题目"/>
    <w:basedOn w:val="1"/>
    <w:qFormat/>
    <w:uiPriority w:val="0"/>
    <w:pPr>
      <w:spacing w:line="360" w:lineRule="auto"/>
      <w:ind w:firstLine="420" w:firstLineChars="200"/>
    </w:pPr>
  </w:style>
  <w:style w:type="paragraph" w:customStyle="1" w:styleId="29">
    <w:name w:val="试题-答案-普通1"/>
    <w:basedOn w:val="1"/>
    <w:qFormat/>
    <w:uiPriority w:val="0"/>
    <w:pPr>
      <w:spacing w:line="360" w:lineRule="auto"/>
      <w:jc w:val="left"/>
    </w:pPr>
  </w:style>
  <w:style w:type="paragraph" w:customStyle="1" w:styleId="30">
    <w:name w:val="试卷-题型-标题"/>
    <w:basedOn w:val="1"/>
    <w:qFormat/>
    <w:uiPriority w:val="0"/>
    <w:pPr>
      <w:spacing w:line="360" w:lineRule="auto"/>
    </w:pPr>
    <w:rPr>
      <w:rFonts w:ascii="Times New Roman" w:hAnsi="黑体" w:eastAsia="黑体" w:cs="Times New Roman"/>
      <w:b/>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2901</Words>
  <Characters>3023</Characters>
  <Lines>33</Lines>
  <Paragraphs>9</Paragraphs>
  <TotalTime>1</TotalTime>
  <ScaleCrop>false</ScaleCrop>
  <LinksUpToDate>false</LinksUpToDate>
  <CharactersWithSpaces>3926</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2023-08-10T02:30:00Z</dcterms:created>
  <dc:creator>user</dc:creator>
  <cp:lastModifiedBy>YZZX</cp:lastModifiedBy>
  <dcterms:modified xsi:type="dcterms:W3CDTF">2025-05-06T04:12:45Z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967666550F254B9CB7FB56607FB040AD</vt:lpwstr>
  </property>
</Properties>
</file>