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1018D" w:rsidRDefault="00A1018D" w:rsidP="00A1018D">
      <w:pPr>
        <w:adjustRightInd w:val="0"/>
        <w:snapToGrid w:val="0"/>
        <w:spacing w:after="0" w:line="360" w:lineRule="auto"/>
        <w:textAlignment w:val="baseline"/>
        <w:rPr>
          <w:rFonts w:ascii="黑体" w:eastAsia="黑体" w:hAnsi="黑体"/>
          <w:b/>
          <w:color w:val="000000" w:themeColor="text1"/>
          <w:sz w:val="28"/>
          <w:szCs w:val="28"/>
        </w:rPr>
      </w:pPr>
      <w:bookmarkStart w:id="0" w:name="_Hlk92975874"/>
      <w:r>
        <w:rPr>
          <w:rFonts w:ascii="黑体" w:eastAsia="黑体" w:hAnsi="黑体" w:hint="eastAsia"/>
          <w:b/>
          <w:color w:val="000000" w:themeColor="text1"/>
          <w:sz w:val="28"/>
          <w:szCs w:val="28"/>
        </w:rPr>
        <w:t>江苏省仪征中学2024-2025学年度第二学期高一语文学科导学案</w:t>
      </w:r>
    </w:p>
    <w:p w:rsidR="00A1018D" w:rsidRDefault="00A1018D" w:rsidP="00A1018D">
      <w:pPr>
        <w:adjustRightInd w:val="0"/>
        <w:snapToGrid w:val="0"/>
        <w:spacing w:after="0" w:line="360" w:lineRule="auto"/>
        <w:jc w:val="center"/>
        <w:textAlignment w:val="baseline"/>
        <w:rPr>
          <w:rFonts w:ascii="黑体" w:eastAsia="黑体" w:hAnsi="黑体"/>
          <w:b/>
          <w:color w:val="000000" w:themeColor="text1"/>
          <w:sz w:val="28"/>
          <w:szCs w:val="28"/>
        </w:rPr>
      </w:pPr>
      <w:r>
        <w:rPr>
          <w:rFonts w:ascii="黑体" w:eastAsia="黑体" w:hAnsi="黑体" w:hint="eastAsia"/>
          <w:b/>
          <w:color w:val="000000" w:themeColor="text1"/>
          <w:sz w:val="28"/>
          <w:szCs w:val="28"/>
        </w:rPr>
        <w:t>《窦娥冤（节选）》第二课时</w:t>
      </w:r>
    </w:p>
    <w:p w:rsidR="00A1018D" w:rsidRDefault="00A1018D" w:rsidP="00A1018D">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研制人：方新</w:t>
      </w:r>
      <w:r>
        <w:rPr>
          <w:rFonts w:ascii="楷体" w:eastAsia="楷体" w:hAnsi="楷体" w:cs="楷体"/>
          <w:bCs/>
          <w:color w:val="000000" w:themeColor="text1"/>
          <w:sz w:val="24"/>
        </w:rPr>
        <w:tab/>
      </w:r>
      <w:r>
        <w:rPr>
          <w:rFonts w:ascii="楷体" w:eastAsia="楷体" w:hAnsi="楷体" w:cs="楷体" w:hint="eastAsia"/>
          <w:bCs/>
          <w:color w:val="000000" w:themeColor="text1"/>
          <w:sz w:val="24"/>
        </w:rPr>
        <w:t>审核人：高新艳</w:t>
      </w:r>
    </w:p>
    <w:p w:rsidR="00A1018D" w:rsidRDefault="00A1018D" w:rsidP="00A1018D">
      <w:pPr>
        <w:adjustRightInd w:val="0"/>
        <w:snapToGrid w:val="0"/>
        <w:spacing w:after="0" w:line="360" w:lineRule="auto"/>
        <w:jc w:val="center"/>
        <w:textAlignment w:val="baseline"/>
        <w:rPr>
          <w:rFonts w:ascii="楷体" w:eastAsia="楷体" w:hAnsi="楷体" w:cs="楷体"/>
          <w:bCs/>
          <w:color w:val="000000" w:themeColor="text1"/>
          <w:sz w:val="24"/>
        </w:rPr>
      </w:pPr>
      <w:r>
        <w:rPr>
          <w:rFonts w:ascii="楷体" w:eastAsia="楷体" w:hAnsi="楷体" w:cs="楷体" w:hint="eastAsia"/>
          <w:bCs/>
          <w:color w:val="000000" w:themeColor="text1"/>
          <w:sz w:val="24"/>
        </w:rPr>
        <w:t>班级________姓名________学号________授课日期：________</w:t>
      </w:r>
    </w:p>
    <w:p w:rsidR="00A1018D" w:rsidRDefault="00A1018D" w:rsidP="00A1018D">
      <w:pPr>
        <w:adjustRightInd w:val="0"/>
        <w:snapToGrid w:val="0"/>
        <w:spacing w:after="0" w:line="360" w:lineRule="auto"/>
        <w:textAlignment w:val="baseline"/>
        <w:rPr>
          <w:rFonts w:ascii="宋体" w:hAnsi="宋体" w:cs="宋体"/>
          <w:b/>
          <w:color w:val="000000" w:themeColor="text1"/>
          <w:szCs w:val="21"/>
        </w:rPr>
      </w:pPr>
      <w:r>
        <w:rPr>
          <w:rFonts w:ascii="宋体" w:hAnsi="宋体" w:cs="宋体" w:hint="eastAsia"/>
          <w:b/>
          <w:color w:val="000000" w:themeColor="text1"/>
          <w:szCs w:val="21"/>
        </w:rPr>
        <w:t>本课在课程标准中的表述：</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本单元是一个戏剧单元，人文主题是“良知与悲悯”，属于“文学阅读与写作”学习任务群。旨在理解作品中蕴含的对社会现实的认识和对人生的深切关怀，把握作品的悲剧意蕴，激发同情他人、追求正义、坚守良知的情怀。</w:t>
      </w:r>
    </w:p>
    <w:p w:rsidR="00A1018D" w:rsidRDefault="00A1018D" w:rsidP="00A1018D">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一、内容导读</w:t>
      </w:r>
    </w:p>
    <w:bookmarkEnd w:id="0"/>
    <w:p w:rsidR="00A1018D" w:rsidRDefault="00A1018D" w:rsidP="00A1018D">
      <w:pPr>
        <w:adjustRightInd w:val="0"/>
        <w:snapToGrid w:val="0"/>
        <w:spacing w:after="0" w:line="360" w:lineRule="auto"/>
        <w:rPr>
          <w:rFonts w:ascii="宋体" w:hAnsi="宋体"/>
        </w:rPr>
      </w:pPr>
      <w:r>
        <w:rPr>
          <w:rFonts w:ascii="宋体" w:hAnsi="宋体"/>
        </w:rPr>
        <w:t>1.</w:t>
      </w:r>
      <w:r>
        <w:rPr>
          <w:rFonts w:ascii="宋体" w:hAnsi="宋体" w:hint="eastAsia"/>
        </w:rPr>
        <w:t>窦娥之</w:t>
      </w:r>
      <w:proofErr w:type="gramStart"/>
      <w:r>
        <w:rPr>
          <w:rFonts w:ascii="宋体" w:hAnsi="宋体" w:hint="eastAsia"/>
        </w:rPr>
        <w:t>悲</w:t>
      </w:r>
      <w:proofErr w:type="gramEnd"/>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王国维曾言《窦娥冤》乃“元杂剧之为一代之绝作,元人未之知也。明之文人始激赏之，至有以关汉卿比司马子长者。”鉴赏时可“据事循情，依情究理”思路，完成以下研读内容：</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（1）《窦娥冤》之事——悲剧情节与冲突</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（《窦娥冤》由一个楔子和四折组成。楔子是戏剧冲突的序曲。）</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戏剧冲突能够有力地展现人物性格所赖以发展的典型环境；反过来，典型环境的深刻、精确地描绘，又直接决定着人物形象的塑造和主题思想的深化。关汉卿把主人公放在尖锐的戏剧冲突中来加以塑造，描绘了一幅元代黑暗社会的图画。</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w:t>
      </w:r>
      <w:r>
        <w:rPr>
          <w:rFonts w:ascii="宋体" w:hAnsi="宋体"/>
        </w:rPr>
        <w:t>2</w:t>
      </w:r>
      <w:r>
        <w:rPr>
          <w:rFonts w:ascii="宋体" w:hAnsi="宋体" w:hint="eastAsia"/>
        </w:rPr>
        <w:t>）《窦娥冤》之情——人物性格与悲剧美</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窦娥身世凄苦，善良、孝顺、本分，面对邪恶势力敢于反抗。鲁迅先生曾说过，“悲剧是把有价值的毁灭给人看。”遭受种种不幸的窦娥最终被吞噬了青春和生命，令人同情、惋惜和愤恨。</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（3）《窦娥冤》之理——悲剧根源</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①如吏治腐败：《元史》记载，“数十年来风俗大坏，居官者习于贪，无异盗贼”，“己不为耻，人也不以为怪”。大德七年一年，发现的冤案就有5176件，因为贪赃过错被革职的官员有18437人，这个数字占官吏总数的十分之七。</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②如文化落后：元朝统治者对汉族和其他少数民族人民实行严酷的民族压迫，分成四等。废黜科举，儒生们入</w:t>
      </w:r>
      <w:proofErr w:type="gramStart"/>
      <w:r>
        <w:rPr>
          <w:rFonts w:ascii="宋体" w:hAnsi="宋体" w:hint="eastAsia"/>
        </w:rPr>
        <w:t>仕</w:t>
      </w:r>
      <w:proofErr w:type="gramEnd"/>
      <w:r>
        <w:rPr>
          <w:rFonts w:ascii="宋体" w:hAnsi="宋体" w:hint="eastAsia"/>
        </w:rPr>
        <w:t>无路，生计艰难，生活狼狈，有“九儒十</w:t>
      </w:r>
      <w:proofErr w:type="gramStart"/>
      <w:r>
        <w:rPr>
          <w:rFonts w:ascii="宋体" w:hAnsi="宋体" w:hint="eastAsia"/>
        </w:rPr>
        <w:t>丐</w:t>
      </w:r>
      <w:proofErr w:type="gramEnd"/>
      <w:r>
        <w:rPr>
          <w:rFonts w:ascii="宋体" w:hAnsi="宋体" w:hint="eastAsia"/>
        </w:rPr>
        <w:t>”的说法。</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③如社会矛盾尖锐：恶势力横行，社会底层的求告无门，窦娥的悲剧，起于流氓贪官，源于黑暗的社会。</w:t>
      </w:r>
    </w:p>
    <w:p w:rsidR="00A1018D" w:rsidRDefault="00A1018D" w:rsidP="00A1018D">
      <w:pPr>
        <w:adjustRightInd w:val="0"/>
        <w:snapToGrid w:val="0"/>
        <w:spacing w:after="0" w:line="360" w:lineRule="auto"/>
        <w:rPr>
          <w:rFonts w:ascii="宋体" w:hAnsi="宋体"/>
        </w:rPr>
      </w:pPr>
      <w:r>
        <w:rPr>
          <w:rFonts w:ascii="宋体" w:hAnsi="宋体"/>
        </w:rPr>
        <w:t>2.</w:t>
      </w:r>
      <w:r>
        <w:rPr>
          <w:rFonts w:ascii="宋体" w:hAnsi="宋体" w:hint="eastAsia"/>
        </w:rPr>
        <w:t>《窦娥冤》成为中国古典悲剧经典的原因</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叶宪祖改为《金锁记》：窦娥的丈夫并没有夭折，而是在赴京赶考途中，落水黄河，被龙王招为驸马。三年后又入京参加科举考试，一举状元及第。而窦娥也在行刑时，因天降大雪，提刑官惊骇，急令刀下留人，得以不死。最后窦天章平反冤狱，窦娥得以昭雪获释，与丈夫蔡昌宗舟中相遇，父女夫妻欢庆团圆。正是“翁做高官婿状元，夫妻母子重相会”。</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如此一改，虽然符合了人们的愿望，但削弱了原剧的战斗性，而流于一般戏曲的大团圆结局的俗套。这样改，说明叶宪祖老先生并没有读懂原剧的意思，或者是他有意篡改原意，把一出控诉封建统治者迫害无辜百姓的悲剧，蜕变成一出歌颂神明、歌颂清官的庸俗喜剧。</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中国古典悲剧以</w:t>
      </w:r>
      <w:proofErr w:type="gramStart"/>
      <w:r>
        <w:rPr>
          <w:rFonts w:ascii="宋体" w:hAnsi="宋体" w:hint="eastAsia"/>
        </w:rPr>
        <w:t>凄</w:t>
      </w:r>
      <w:proofErr w:type="gramEnd"/>
      <w:r>
        <w:rPr>
          <w:rFonts w:ascii="宋体" w:hAnsi="宋体" w:hint="eastAsia"/>
        </w:rPr>
        <w:t>、苦、悲、</w:t>
      </w:r>
      <w:proofErr w:type="gramStart"/>
      <w:r>
        <w:rPr>
          <w:rFonts w:ascii="宋体" w:hAnsi="宋体" w:hint="eastAsia"/>
        </w:rPr>
        <w:t>怨作为</w:t>
      </w:r>
      <w:proofErr w:type="gramEnd"/>
      <w:r>
        <w:rPr>
          <w:rFonts w:ascii="宋体" w:hAnsi="宋体" w:hint="eastAsia"/>
        </w:rPr>
        <w:t>审美效应，以令人</w:t>
      </w:r>
      <w:proofErr w:type="gramStart"/>
      <w:r>
        <w:rPr>
          <w:rFonts w:ascii="宋体" w:hAnsi="宋体" w:hint="eastAsia"/>
        </w:rPr>
        <w:t>泣</w:t>
      </w:r>
      <w:proofErr w:type="gramEnd"/>
      <w:r>
        <w:rPr>
          <w:rFonts w:ascii="宋体" w:hAnsi="宋体" w:hint="eastAsia"/>
        </w:rPr>
        <w:t>下的悲怆为美，以弱者的苦境、苦情博取观众的眼</w:t>
      </w:r>
      <w:r>
        <w:rPr>
          <w:rFonts w:ascii="宋体" w:hAnsi="宋体" w:hint="eastAsia"/>
        </w:rPr>
        <w:lastRenderedPageBreak/>
        <w:t>泪。“中国的剧作家总是喜欢善得善报、恶得恶报的大团圆结尾。”鲁迅指出“大团圆”模式的本质是“瞒和骗”，是中国国民性弱点在艺术上的反映，几千年的封建礼教历史，妥协平和中庸的思想已成为浸透中国传统文化骨髓的一种主导性精神倾向，它禁锢和束缚着人们的心灵。</w:t>
      </w:r>
    </w:p>
    <w:p w:rsidR="00A1018D" w:rsidRDefault="00A1018D" w:rsidP="00A1018D">
      <w:pPr>
        <w:adjustRightInd w:val="0"/>
        <w:snapToGrid w:val="0"/>
        <w:spacing w:after="0" w:line="360" w:lineRule="auto"/>
        <w:ind w:firstLineChars="200" w:firstLine="420"/>
        <w:rPr>
          <w:rFonts w:ascii="宋体" w:hAnsi="宋体"/>
        </w:rPr>
      </w:pPr>
      <w:r>
        <w:rPr>
          <w:rFonts w:ascii="宋体" w:hAnsi="宋体" w:hint="eastAsia"/>
        </w:rPr>
        <w:t>中国古典悲剧习惯于渲染情节的“悲”与“惨”，为达到这一效果，悲剧的主人公面对外界往往缺乏反抗的意识，只是服从。而窦娥自觉地认罪、起誓，将冲突推向了高潮，体现了主动反抗的悲剧意识。因此，王国维认为《窦娥冤》列于世界大悲剧中亦无愧色。</w:t>
      </w:r>
    </w:p>
    <w:p w:rsidR="00A1018D" w:rsidRDefault="00A1018D" w:rsidP="00A1018D">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二、素养导航</w:t>
      </w:r>
    </w:p>
    <w:p w:rsidR="00A1018D" w:rsidRDefault="00A1018D" w:rsidP="00A1018D">
      <w:pPr>
        <w:adjustRightInd w:val="0"/>
        <w:snapToGrid w:val="0"/>
        <w:spacing w:after="0" w:line="360" w:lineRule="auto"/>
        <w:ind w:firstLineChars="200" w:firstLine="420"/>
        <w:rPr>
          <w:rFonts w:ascii="宋体" w:hAnsi="宋体"/>
        </w:rPr>
      </w:pPr>
      <w:r>
        <w:rPr>
          <w:rFonts w:ascii="宋体" w:hAnsi="宋体"/>
        </w:rPr>
        <w:t>1.</w:t>
      </w:r>
      <w:r>
        <w:rPr>
          <w:rFonts w:ascii="宋体" w:hAnsi="宋体" w:hint="eastAsia"/>
        </w:rPr>
        <w:t>理解窦娥形象的社会意义，理解戏剧的主题。</w:t>
      </w:r>
    </w:p>
    <w:p w:rsidR="00A1018D" w:rsidRDefault="00A1018D" w:rsidP="00A1018D">
      <w:pPr>
        <w:adjustRightInd w:val="0"/>
        <w:snapToGrid w:val="0"/>
        <w:spacing w:after="0" w:line="360" w:lineRule="auto"/>
        <w:ind w:firstLineChars="200" w:firstLine="420"/>
        <w:rPr>
          <w:rFonts w:ascii="宋体" w:hAnsi="宋体"/>
        </w:rPr>
      </w:pPr>
      <w:r>
        <w:rPr>
          <w:rFonts w:ascii="宋体" w:hAnsi="宋体"/>
        </w:rPr>
        <w:t>2.</w:t>
      </w:r>
      <w:r>
        <w:rPr>
          <w:rFonts w:ascii="宋体" w:hAnsi="宋体" w:hint="eastAsia"/>
        </w:rPr>
        <w:t>通过窦娥</w:t>
      </w:r>
      <w:proofErr w:type="gramStart"/>
      <w:r>
        <w:rPr>
          <w:rFonts w:ascii="宋体" w:hAnsi="宋体" w:hint="eastAsia"/>
        </w:rPr>
        <w:t>冤</w:t>
      </w:r>
      <w:proofErr w:type="gramEnd"/>
      <w:r>
        <w:rPr>
          <w:rFonts w:ascii="宋体" w:hAnsi="宋体" w:hint="eastAsia"/>
        </w:rPr>
        <w:t>这一历史冤案，认识元代社会的黑暗和统治者的残暴，以及人们的反抗精神。</w:t>
      </w:r>
    </w:p>
    <w:p w:rsidR="00A1018D" w:rsidRDefault="00A1018D" w:rsidP="00A1018D">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三、问题导思</w:t>
      </w:r>
    </w:p>
    <w:p w:rsidR="00A1018D" w:rsidRDefault="00A1018D" w:rsidP="00A1018D">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1</w:t>
      </w:r>
      <w:r>
        <w:rPr>
          <w:rFonts w:ascii="宋体" w:hAnsi="宋体" w:cs="宋体" w:hint="eastAsia"/>
          <w:color w:val="000000" w:themeColor="text1"/>
          <w:spacing w:val="4"/>
          <w:kern w:val="10"/>
          <w:szCs w:val="21"/>
          <w:lang w:bidi="ne-NP"/>
        </w:rPr>
        <w:t>.思考窦娥其人，作者为什么要把窦娥塑造成一位寡妇呢？</w:t>
      </w: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2</w:t>
      </w:r>
      <w:r>
        <w:rPr>
          <w:rFonts w:ascii="宋体" w:hAnsi="宋体" w:cs="宋体" w:hint="eastAsia"/>
          <w:color w:val="000000" w:themeColor="text1"/>
          <w:spacing w:val="4"/>
          <w:kern w:val="10"/>
          <w:szCs w:val="21"/>
          <w:lang w:bidi="ne-NP"/>
        </w:rPr>
        <w:t>.窦娥这一寡妇有着什么样的形象，具备哪些品质？</w:t>
      </w: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3.</w:t>
      </w:r>
      <w:r>
        <w:rPr>
          <w:rFonts w:ascii="宋体" w:hAnsi="宋体" w:cs="宋体" w:hint="eastAsia"/>
          <w:color w:val="000000" w:themeColor="text1"/>
          <w:spacing w:val="4"/>
          <w:kern w:val="10"/>
          <w:szCs w:val="21"/>
          <w:lang w:bidi="ne-NP"/>
        </w:rPr>
        <w:t>《倘秀才》唱词中，窦娥为何</w:t>
      </w:r>
      <w:proofErr w:type="gramStart"/>
      <w:r>
        <w:rPr>
          <w:rFonts w:ascii="宋体" w:hAnsi="宋体" w:cs="宋体" w:hint="eastAsia"/>
          <w:color w:val="000000" w:themeColor="text1"/>
          <w:spacing w:val="4"/>
          <w:kern w:val="10"/>
          <w:szCs w:val="21"/>
          <w:lang w:bidi="ne-NP"/>
        </w:rPr>
        <w:t>哀告走</w:t>
      </w:r>
      <w:proofErr w:type="gramEnd"/>
      <w:r>
        <w:rPr>
          <w:rFonts w:ascii="宋体" w:hAnsi="宋体" w:cs="宋体" w:hint="eastAsia"/>
          <w:color w:val="000000" w:themeColor="text1"/>
          <w:spacing w:val="4"/>
          <w:kern w:val="10"/>
          <w:szCs w:val="21"/>
          <w:lang w:bidi="ne-NP"/>
        </w:rPr>
        <w:t>后街？这一情节具体表现了窦娥的什么精神品质？对揭示主题有何作用？</w:t>
      </w: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color w:val="000000" w:themeColor="text1"/>
          <w:spacing w:val="4"/>
          <w:kern w:val="10"/>
          <w:szCs w:val="21"/>
          <w:lang w:bidi="ne-NP"/>
        </w:rPr>
      </w:pPr>
      <w:r>
        <w:rPr>
          <w:rFonts w:ascii="宋体" w:hAnsi="宋体" w:cs="宋体"/>
          <w:color w:val="000000" w:themeColor="text1"/>
          <w:spacing w:val="4"/>
          <w:kern w:val="10"/>
          <w:szCs w:val="21"/>
          <w:lang w:bidi="ne-NP"/>
        </w:rPr>
        <w:t>4.</w:t>
      </w:r>
      <w:r>
        <w:rPr>
          <w:rFonts w:ascii="宋体" w:hAnsi="宋体" w:cs="宋体" w:hint="eastAsia"/>
          <w:color w:val="000000" w:themeColor="text1"/>
          <w:spacing w:val="4"/>
          <w:kern w:val="10"/>
          <w:szCs w:val="21"/>
          <w:lang w:bidi="ne-NP"/>
        </w:rPr>
        <w:t>熟读《快活三》和《鲍老儿》，思考：窦娥临刑前为什么反复叮嘱婆婆要祭奠她？起到怎样的作用？</w:t>
      </w: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70C0"/>
          <w:spacing w:val="4"/>
          <w:kern w:val="10"/>
          <w:szCs w:val="21"/>
          <w:lang w:bidi="ne-NP"/>
        </w:rPr>
      </w:pPr>
    </w:p>
    <w:p w:rsidR="00A1018D" w:rsidRDefault="00A1018D" w:rsidP="00A1018D">
      <w:pPr>
        <w:widowControl/>
        <w:adjustRightInd w:val="0"/>
        <w:snapToGrid w:val="0"/>
        <w:spacing w:after="0" w:line="360" w:lineRule="auto"/>
        <w:jc w:val="left"/>
        <w:textAlignment w:val="baseline"/>
        <w:rPr>
          <w:rFonts w:ascii="宋体" w:hAnsi="宋体" w:cs="宋体"/>
          <w:b/>
          <w:bCs/>
          <w:color w:val="000000" w:themeColor="text1"/>
          <w:spacing w:val="4"/>
          <w:kern w:val="10"/>
          <w:szCs w:val="21"/>
          <w:lang w:bidi="ne-NP"/>
        </w:rPr>
      </w:pPr>
      <w:r>
        <w:rPr>
          <w:rFonts w:ascii="宋体" w:hAnsi="宋体" w:cs="宋体" w:hint="eastAsia"/>
          <w:b/>
          <w:bCs/>
          <w:color w:val="000000" w:themeColor="text1"/>
          <w:spacing w:val="4"/>
          <w:kern w:val="10"/>
          <w:szCs w:val="21"/>
          <w:lang w:bidi="ne-NP"/>
        </w:rPr>
        <w:t>四、总结拓展</w:t>
      </w:r>
    </w:p>
    <w:p w:rsidR="00A1018D" w:rsidRDefault="00A1018D" w:rsidP="00A1018D">
      <w:pPr>
        <w:adjustRightInd w:val="0"/>
        <w:snapToGrid w:val="0"/>
        <w:spacing w:after="0" w:line="360" w:lineRule="auto"/>
        <w:ind w:firstLineChars="200" w:firstLine="420"/>
        <w:rPr>
          <w:rFonts w:ascii="宋体" w:hAnsi="宋体" w:cs="宋体"/>
          <w:szCs w:val="21"/>
        </w:rPr>
      </w:pPr>
      <w:bookmarkStart w:id="1" w:name="_Hlk92978167"/>
      <w:r>
        <w:rPr>
          <w:rFonts w:ascii="宋体" w:hAnsi="宋体" w:cs="宋体" w:hint="eastAsia"/>
          <w:szCs w:val="21"/>
        </w:rPr>
        <w:t>中国古典悲剧以</w:t>
      </w:r>
      <w:proofErr w:type="gramStart"/>
      <w:r>
        <w:rPr>
          <w:rFonts w:ascii="宋体" w:hAnsi="宋体" w:cs="宋体" w:hint="eastAsia"/>
          <w:szCs w:val="21"/>
        </w:rPr>
        <w:t>凄</w:t>
      </w:r>
      <w:proofErr w:type="gramEnd"/>
      <w:r>
        <w:rPr>
          <w:rFonts w:ascii="宋体" w:hAnsi="宋体" w:cs="宋体" w:hint="eastAsia"/>
          <w:szCs w:val="21"/>
        </w:rPr>
        <w:t>、苦、悲、</w:t>
      </w:r>
      <w:proofErr w:type="gramStart"/>
      <w:r>
        <w:rPr>
          <w:rFonts w:ascii="宋体" w:hAnsi="宋体" w:cs="宋体" w:hint="eastAsia"/>
          <w:szCs w:val="21"/>
        </w:rPr>
        <w:t>怨作为</w:t>
      </w:r>
      <w:proofErr w:type="gramEnd"/>
      <w:r>
        <w:rPr>
          <w:rFonts w:ascii="宋体" w:hAnsi="宋体" w:cs="宋体" w:hint="eastAsia"/>
          <w:szCs w:val="21"/>
        </w:rPr>
        <w:t>审美效应，以令人</w:t>
      </w:r>
      <w:proofErr w:type="gramStart"/>
      <w:r>
        <w:rPr>
          <w:rFonts w:ascii="宋体" w:hAnsi="宋体" w:cs="宋体" w:hint="eastAsia"/>
          <w:szCs w:val="21"/>
        </w:rPr>
        <w:t>泣</w:t>
      </w:r>
      <w:proofErr w:type="gramEnd"/>
      <w:r>
        <w:rPr>
          <w:rFonts w:ascii="宋体" w:hAnsi="宋体" w:cs="宋体" w:hint="eastAsia"/>
          <w:szCs w:val="21"/>
        </w:rPr>
        <w:t>下的悲怆为美，以弱者的苦境、苦情博取观众的眼泪。“中国的剧作家总是喜欢善得善报、恶得恶报的大团圆结尾。”鲁迅指出“大团圆”模式的本质是“瞒和骗”，是中国国民性弱点在艺术上的反映，几千年的封建礼教历史，妥协平和中庸的思想已成为浸透中国传统文化骨髓的一种主导性精神倾向，它禁锢和束缚着人们的心灵。</w:t>
      </w:r>
    </w:p>
    <w:p w:rsidR="00A1018D" w:rsidRDefault="00A1018D" w:rsidP="00A1018D">
      <w:pPr>
        <w:adjustRightInd w:val="0"/>
        <w:snapToGrid w:val="0"/>
        <w:spacing w:after="0" w:line="360" w:lineRule="auto"/>
        <w:ind w:firstLineChars="200" w:firstLine="420"/>
        <w:rPr>
          <w:rFonts w:ascii="宋体" w:hAnsi="宋体" w:cs="宋体"/>
          <w:szCs w:val="21"/>
        </w:rPr>
      </w:pPr>
      <w:r>
        <w:rPr>
          <w:rFonts w:ascii="宋体" w:hAnsi="宋体" w:cs="宋体" w:hint="eastAsia"/>
          <w:szCs w:val="21"/>
        </w:rPr>
        <w:t>通过《窦娥冤》这篇课文的学习，我们为窦娥悲惨的命运而动容。《窦娥冤》之所以成为经典，不仅仅在于其高超的艺术水平，还在于蕴含在这部作品中的人文关怀精神。这也是文艺作品的使命，一部作品的生命力的关键，就在于从生活中来呈现人生百味，希望我们能够用心去体验经典文学的心跳律动。</w:t>
      </w:r>
      <w:bookmarkEnd w:id="1"/>
    </w:p>
    <w:p w:rsidR="00AA5FDD" w:rsidRPr="00A1018D" w:rsidRDefault="00AA5FDD" w:rsidP="00A1018D"/>
    <w:sectPr w:rsidR="00AA5FDD" w:rsidRPr="00A1018D">
      <w:pgSz w:w="11906" w:h="16838"/>
      <w:pgMar w:top="851" w:right="851" w:bottom="851"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02E0" w:rsidRDefault="00B202E0">
      <w:pPr>
        <w:spacing w:line="240" w:lineRule="auto"/>
      </w:pPr>
      <w:r>
        <w:separator/>
      </w:r>
    </w:p>
  </w:endnote>
  <w:endnote w:type="continuationSeparator" w:id="0">
    <w:p w:rsidR="00B202E0" w:rsidRDefault="00B20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02E0" w:rsidRDefault="00B202E0">
      <w:pPr>
        <w:spacing w:after="0"/>
      </w:pPr>
      <w:r>
        <w:separator/>
      </w:r>
    </w:p>
  </w:footnote>
  <w:footnote w:type="continuationSeparator" w:id="0">
    <w:p w:rsidR="00B202E0" w:rsidRDefault="00B202E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SO_WPS_MARK_KEY" w:val="413d4573-1717-4992-b210-ae02ffdc0483"/>
  </w:docVars>
  <w:rsids>
    <w:rsidRoot w:val="00012CC5"/>
    <w:rsid w:val="00012CC5"/>
    <w:rsid w:val="00062EBC"/>
    <w:rsid w:val="001026EA"/>
    <w:rsid w:val="0024744C"/>
    <w:rsid w:val="00292821"/>
    <w:rsid w:val="003C3E8E"/>
    <w:rsid w:val="00447B63"/>
    <w:rsid w:val="004763BC"/>
    <w:rsid w:val="00A1018D"/>
    <w:rsid w:val="00A76BA3"/>
    <w:rsid w:val="00AA5FDD"/>
    <w:rsid w:val="00AC30DB"/>
    <w:rsid w:val="00B03A30"/>
    <w:rsid w:val="00B202E0"/>
    <w:rsid w:val="00BD23C7"/>
    <w:rsid w:val="00CC2AC4"/>
    <w:rsid w:val="00E44BCF"/>
    <w:rsid w:val="00E773AD"/>
    <w:rsid w:val="00E902B6"/>
    <w:rsid w:val="392E0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D2301F85-FA8E-4524-B282-F27468CE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480" w:after="80" w:line="240" w:lineRule="auto"/>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line="240" w:lineRule="auto"/>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line="240" w:lineRule="auto"/>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line="240" w:lineRule="auto"/>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line="240" w:lineRule="auto"/>
      <w:outlineLvl w:val="4"/>
    </w:pPr>
    <w:rPr>
      <w:rFonts w:asciiTheme="minorHAnsi" w:eastAsiaTheme="minorEastAsia" w:hAnsiTheme="minorHAnsi" w:cstheme="majorBidi"/>
      <w:color w:val="2F5496" w:themeColor="accent1" w:themeShade="BF"/>
      <w:sz w:val="24"/>
    </w:rPr>
  </w:style>
  <w:style w:type="paragraph" w:styleId="6">
    <w:name w:val="heading 6"/>
    <w:basedOn w:val="a"/>
    <w:next w:val="a"/>
    <w:link w:val="60"/>
    <w:uiPriority w:val="9"/>
    <w:semiHidden/>
    <w:unhideWhenUsed/>
    <w:qFormat/>
    <w:pPr>
      <w:keepNext/>
      <w:keepLines/>
      <w:spacing w:before="40" w:after="0" w:line="240" w:lineRule="auto"/>
      <w:outlineLvl w:val="5"/>
    </w:pPr>
    <w:rPr>
      <w:rFonts w:asciiTheme="minorHAnsi" w:eastAsiaTheme="minorEastAsia" w:hAnsiTheme="minorHAnsi" w:cstheme="majorBidi"/>
      <w:b/>
      <w:bCs/>
      <w:color w:val="2F5496" w:themeColor="accent1" w:themeShade="BF"/>
      <w:szCs w:val="22"/>
    </w:rPr>
  </w:style>
  <w:style w:type="paragraph" w:styleId="7">
    <w:name w:val="heading 7"/>
    <w:basedOn w:val="a"/>
    <w:next w:val="a"/>
    <w:link w:val="70"/>
    <w:uiPriority w:val="9"/>
    <w:semiHidden/>
    <w:unhideWhenUsed/>
    <w:qFormat/>
    <w:pPr>
      <w:keepNext/>
      <w:keepLines/>
      <w:spacing w:before="40" w:after="0" w:line="240" w:lineRule="auto"/>
      <w:outlineLvl w:val="6"/>
    </w:pPr>
    <w:rPr>
      <w:rFonts w:asciiTheme="minorHAnsi" w:eastAsiaTheme="minorEastAsia" w:hAnsiTheme="minorHAnsi" w:cstheme="majorBidi"/>
      <w:b/>
      <w:bCs/>
      <w:color w:val="595959" w:themeColor="text1" w:themeTint="A6"/>
      <w:szCs w:val="22"/>
    </w:rPr>
  </w:style>
  <w:style w:type="paragraph" w:styleId="8">
    <w:name w:val="heading 8"/>
    <w:basedOn w:val="a"/>
    <w:next w:val="a"/>
    <w:link w:val="80"/>
    <w:uiPriority w:val="9"/>
    <w:semiHidden/>
    <w:unhideWhenUsed/>
    <w:qFormat/>
    <w:pPr>
      <w:keepNext/>
      <w:keepLines/>
      <w:spacing w:after="0" w:line="240" w:lineRule="auto"/>
      <w:outlineLvl w:val="7"/>
    </w:pPr>
    <w:rPr>
      <w:rFonts w:asciiTheme="minorHAnsi" w:eastAsiaTheme="minorEastAsia" w:hAnsiTheme="minorHAnsi" w:cstheme="majorBidi"/>
      <w:color w:val="595959" w:themeColor="text1" w:themeTint="A6"/>
      <w:szCs w:val="22"/>
    </w:rPr>
  </w:style>
  <w:style w:type="paragraph" w:styleId="9">
    <w:name w:val="heading 9"/>
    <w:basedOn w:val="a"/>
    <w:next w:val="a"/>
    <w:link w:val="90"/>
    <w:uiPriority w:val="9"/>
    <w:semiHidden/>
    <w:unhideWhenUsed/>
    <w:qFormat/>
    <w:pPr>
      <w:keepNext/>
      <w:keepLines/>
      <w:spacing w:after="0" w:line="240" w:lineRule="auto"/>
      <w:outlineLvl w:val="8"/>
    </w:pPr>
    <w:rPr>
      <w:rFonts w:asciiTheme="minorHAnsi" w:eastAsiaTheme="majorEastAsia" w:hAnsiTheme="minorHAnsi" w:cstheme="majorBidi"/>
      <w:color w:val="595959" w:themeColor="text1" w:themeTint="A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sz w:val="18"/>
      <w:szCs w:val="18"/>
    </w:rPr>
  </w:style>
  <w:style w:type="paragraph" w:styleId="a5">
    <w:name w:val="footer"/>
    <w:basedOn w:val="a"/>
    <w:link w:val="a6"/>
    <w:uiPriority w:val="99"/>
    <w:unhideWhenUsed/>
    <w:qFormat/>
    <w:pPr>
      <w:tabs>
        <w:tab w:val="center" w:pos="4153"/>
        <w:tab w:val="right" w:pos="8306"/>
      </w:tabs>
      <w:snapToGrid w:val="0"/>
      <w:spacing w:after="0" w:line="240" w:lineRule="auto"/>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tabs>
        <w:tab w:val="center" w:pos="4153"/>
        <w:tab w:val="right" w:pos="8306"/>
      </w:tabs>
      <w:snapToGrid w:val="0"/>
      <w:spacing w:after="0" w:line="240" w:lineRule="auto"/>
      <w:jc w:val="center"/>
    </w:pPr>
    <w:rPr>
      <w:rFonts w:asciiTheme="minorHAnsi" w:eastAsiaTheme="minorEastAsia" w:hAnsiTheme="minorHAnsi" w:cstheme="minorBidi"/>
      <w:sz w:val="18"/>
      <w:szCs w:val="18"/>
    </w:rPr>
  </w:style>
  <w:style w:type="paragraph" w:styleId="a9">
    <w:name w:val="Subtitle"/>
    <w:basedOn w:val="a"/>
    <w:next w:val="a"/>
    <w:link w:val="aa"/>
    <w:uiPriority w:val="11"/>
    <w:qFormat/>
    <w:p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paragraph" w:styleId="ab">
    <w:name w:val="Title"/>
    <w:basedOn w:val="a"/>
    <w:next w:val="a"/>
    <w:link w:val="ac"/>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qFormat/>
    <w:rPr>
      <w:rFonts w:cstheme="majorBidi"/>
      <w:color w:val="2F5496" w:themeColor="accent1" w:themeShade="BF"/>
      <w:sz w:val="28"/>
      <w:szCs w:val="28"/>
    </w:rPr>
  </w:style>
  <w:style w:type="character" w:customStyle="1" w:styleId="50">
    <w:name w:val="标题 5 字符"/>
    <w:basedOn w:val="a0"/>
    <w:link w:val="5"/>
    <w:uiPriority w:val="9"/>
    <w:semiHidden/>
    <w:qFormat/>
    <w:rPr>
      <w:rFonts w:cstheme="majorBidi"/>
      <w:color w:val="2F5496" w:themeColor="accent1" w:themeShade="BF"/>
      <w:sz w:val="24"/>
      <w:szCs w:val="24"/>
    </w:rPr>
  </w:style>
  <w:style w:type="character" w:customStyle="1" w:styleId="60">
    <w:name w:val="标题 6 字符"/>
    <w:basedOn w:val="a0"/>
    <w:link w:val="6"/>
    <w:uiPriority w:val="9"/>
    <w:semiHidden/>
    <w:qFormat/>
    <w:rPr>
      <w:rFonts w:cstheme="majorBidi"/>
      <w:b/>
      <w:bCs/>
      <w:color w:val="2F5496"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c">
    <w:name w:val="标题 字符"/>
    <w:basedOn w:val="a0"/>
    <w:link w:val="ab"/>
    <w:uiPriority w:val="10"/>
    <w:qFormat/>
    <w:rPr>
      <w:rFonts w:asciiTheme="majorHAnsi" w:eastAsiaTheme="majorEastAsia" w:hAnsiTheme="majorHAnsi" w:cstheme="majorBidi"/>
      <w:spacing w:val="-10"/>
      <w:kern w:val="28"/>
      <w:sz w:val="56"/>
      <w:szCs w:val="56"/>
    </w:rPr>
  </w:style>
  <w:style w:type="character" w:customStyle="1" w:styleId="aa">
    <w:name w:val="副标题 字符"/>
    <w:basedOn w:val="a0"/>
    <w:link w:val="a9"/>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uiPriority w:val="29"/>
    <w:qFormat/>
    <w:pPr>
      <w:spacing w:before="160" w:after="160" w:line="240" w:lineRule="auto"/>
      <w:jc w:val="center"/>
    </w:pPr>
    <w:rPr>
      <w:rFonts w:asciiTheme="minorHAnsi" w:eastAsiaTheme="minorEastAsia" w:hAnsiTheme="minorHAnsi" w:cstheme="minorBidi"/>
      <w:i/>
      <w:iCs/>
      <w:color w:val="404040" w:themeColor="text1" w:themeTint="BF"/>
      <w:szCs w:val="22"/>
    </w:rPr>
  </w:style>
  <w:style w:type="character" w:customStyle="1" w:styleId="ae">
    <w:name w:val="引用 字符"/>
    <w:basedOn w:val="a0"/>
    <w:link w:val="ad"/>
    <w:uiPriority w:val="29"/>
    <w:qFormat/>
    <w:rPr>
      <w:i/>
      <w:iCs/>
      <w:color w:val="404040" w:themeColor="text1" w:themeTint="BF"/>
    </w:rPr>
  </w:style>
  <w:style w:type="paragraph" w:styleId="af">
    <w:name w:val="List Paragraph"/>
    <w:basedOn w:val="a"/>
    <w:uiPriority w:val="34"/>
    <w:qFormat/>
    <w:pPr>
      <w:spacing w:after="0" w:line="240" w:lineRule="auto"/>
      <w:ind w:left="720"/>
      <w:contextualSpacing/>
    </w:pPr>
    <w:rPr>
      <w:rFonts w:asciiTheme="minorHAnsi" w:eastAsiaTheme="minorEastAsia" w:hAnsiTheme="minorHAnsi" w:cstheme="minorBidi"/>
      <w:szCs w:val="22"/>
    </w:rPr>
  </w:style>
  <w:style w:type="character" w:customStyle="1" w:styleId="11">
    <w:name w:val="明显强调1"/>
    <w:basedOn w:val="a0"/>
    <w:uiPriority w:val="21"/>
    <w:qFormat/>
    <w:rPr>
      <w:i/>
      <w:iCs/>
      <w:color w:val="2F5496" w:themeColor="accent1" w:themeShade="BF"/>
    </w:rPr>
  </w:style>
  <w:style w:type="paragraph" w:styleId="af0">
    <w:name w:val="Intense Quote"/>
    <w:basedOn w:val="a"/>
    <w:next w:val="a"/>
    <w:link w:val="af1"/>
    <w:uiPriority w:val="30"/>
    <w:qFormat/>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szCs w:val="22"/>
    </w:rPr>
  </w:style>
  <w:style w:type="character" w:customStyle="1" w:styleId="af1">
    <w:name w:val="明显引用 字符"/>
    <w:basedOn w:val="a0"/>
    <w:link w:val="af0"/>
    <w:uiPriority w:val="30"/>
    <w:qFormat/>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Char1">
    <w:name w:val="Char1"/>
    <w:basedOn w:val="a"/>
    <w:qFormat/>
    <w:pPr>
      <w:widowControl/>
      <w:adjustRightInd w:val="0"/>
      <w:spacing w:after="0" w:line="300" w:lineRule="auto"/>
      <w:ind w:firstLineChars="200" w:firstLine="200"/>
      <w:textAlignment w:val="baseline"/>
    </w:pPr>
    <w:rPr>
      <w:kern w:val="0"/>
      <w:szCs w:val="20"/>
    </w:rPr>
  </w:style>
  <w:style w:type="paragraph" w:customStyle="1" w:styleId="00">
    <w:name w:val="正文_0_0"/>
    <w:qFormat/>
    <w:pPr>
      <w:widowControl w:val="0"/>
      <w:jc w:val="both"/>
    </w:pPr>
    <w:rPr>
      <w:rFonts w:ascii="Calibri" w:eastAsia="宋体" w:hAnsi="Calibri" w:cs="Times New Roman"/>
      <w:kern w:val="2"/>
      <w:sz w:val="21"/>
      <w:szCs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40972C-1FC3-427B-9220-98EAC5F6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861</Words>
  <Characters>1103</Characters>
  <Application>Microsoft Office Word</Application>
  <DocSecurity>0</DocSecurity>
  <Lines>36</Lines>
  <Paragraphs>36</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伟 蔡</dc:creator>
  <cp:lastModifiedBy>伟 蔡</cp:lastModifiedBy>
  <cp:revision>6</cp:revision>
  <dcterms:created xsi:type="dcterms:W3CDTF">2025-02-26T02:15:00Z</dcterms:created>
  <dcterms:modified xsi:type="dcterms:W3CDTF">2025-04-30T11:49:00Z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D612F176E3114C6680A454F5059E2DD9</vt:lpwstr>
  </property>
</Properties>
</file>