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iCs w:val="0"/>
          <w:caps w:val="0"/>
          <w:color w:val="333333"/>
          <w:spacing w:val="0"/>
          <w:sz w:val="36"/>
          <w:szCs w:val="36"/>
          <w:shd w:val="clear" w:fill="FFFFFF"/>
        </w:rPr>
      </w:pPr>
      <w:bookmarkStart w:id="0" w:name="_GoBack"/>
      <w:bookmarkEnd w:id="0"/>
      <w:r>
        <w:rPr>
          <w:rFonts w:hint="eastAsia" w:ascii="微软雅黑" w:hAnsi="微软雅黑" w:eastAsia="微软雅黑" w:cs="微软雅黑"/>
          <w:i w:val="0"/>
          <w:iCs w:val="0"/>
          <w:caps w:val="0"/>
          <w:color w:val="333333"/>
          <w:spacing w:val="0"/>
          <w:sz w:val="36"/>
          <w:szCs w:val="36"/>
          <w:shd w:val="clear" w:fill="FFFFFF"/>
        </w:rPr>
        <w:t>十年，这三个自贸试验区有何变化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36"/>
          <w:szCs w:val="36"/>
          <w:shd w:val="clear" w:fill="FFFFFF"/>
        </w:rPr>
        <w:t>（高质量发展看亮点·走一线）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人民日报</w:t>
      </w:r>
      <w:r>
        <w:rPr>
          <w:rFonts w:hint="eastAsia" w:ascii="宋体" w:hAnsi="宋体" w:eastAsia="宋体" w:cs="宋体"/>
          <w:i w:val="0"/>
          <w:iCs w:val="0"/>
          <w:caps w:val="0"/>
          <w:color w:val="333333"/>
          <w:spacing w:val="0"/>
          <w:sz w:val="21"/>
          <w:szCs w:val="21"/>
          <w:shd w:val="clear" w:fill="FFFFFF"/>
        </w:rPr>
        <w:t>记者 罗珊珊 李  刚 靳  博《人民日报》（2025年04月21日 第 11 版）</w:t>
      </w:r>
    </w:p>
    <w:p>
      <w:pPr>
        <w:keepNext w:val="0"/>
        <w:keepLines w:val="0"/>
        <w:widowControl/>
        <w:suppressLineNumbers w:val="0"/>
        <w:shd w:val="clear" w:fill="FFFFFF"/>
        <w:spacing w:before="300" w:beforeAutospacing="0" w:after="0" w:afterAutospacing="0"/>
        <w:ind w:left="0" w:right="0" w:firstLine="0"/>
        <w:jc w:val="center"/>
        <w:rPr>
          <w:rFonts w:hint="eastAsia" w:ascii="宋体" w:hAnsi="宋体" w:eastAsia="宋体" w:cs="宋体"/>
          <w:caps w:val="0"/>
          <w:color w:val="333333"/>
          <w:spacing w:val="0"/>
          <w:sz w:val="24"/>
          <w:szCs w:val="24"/>
        </w:rPr>
      </w:pPr>
      <w:r>
        <w:rPr>
          <w:rFonts w:hint="eastAsia" w:ascii="宋体" w:hAnsi="宋体" w:eastAsia="宋体" w:cs="宋体"/>
          <w:caps w:val="0"/>
          <w:color w:val="333333"/>
          <w:spacing w:val="0"/>
          <w:kern w:val="0"/>
          <w:sz w:val="24"/>
          <w:szCs w:val="24"/>
          <w:shd w:val="clear" w:fill="FFFFFF"/>
          <w:lang w:val="en-US" w:eastAsia="zh-CN" w:bidi="ar"/>
        </w:rPr>
        <w:drawing>
          <wp:inline distT="0" distB="0" distL="114300" distR="114300">
            <wp:extent cx="3810000" cy="18573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810000" cy="1857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226" w:afterAutospacing="0" w:line="294" w:lineRule="atLeast"/>
        <w:ind w:left="0" w:right="0"/>
        <w:jc w:val="both"/>
      </w:pPr>
      <w:r>
        <w:rPr>
          <w:rFonts w:hint="eastAsia" w:ascii="宋体" w:hAnsi="宋体" w:eastAsia="宋体" w:cs="宋体"/>
          <w:caps w:val="0"/>
          <w:color w:val="333333"/>
          <w:spacing w:val="0"/>
          <w:sz w:val="21"/>
          <w:szCs w:val="21"/>
          <w:shd w:val="clear" w:fill="FFFFFF"/>
        </w:rPr>
        <w:t>　　广东自贸试验区南沙片区明珠湾起步区。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226" w:afterAutospacing="0" w:line="294" w:lineRule="atLeast"/>
        <w:ind w:left="0" w:right="0"/>
        <w:jc w:val="both"/>
      </w:pPr>
      <w:r>
        <w:rPr>
          <w:rFonts w:hint="eastAsia" w:ascii="宋体" w:hAnsi="宋体" w:eastAsia="宋体" w:cs="宋体"/>
          <w:caps w:val="0"/>
          <w:color w:val="333333"/>
          <w:spacing w:val="0"/>
          <w:sz w:val="21"/>
          <w:szCs w:val="21"/>
          <w:shd w:val="clear" w:fill="FFFFFF"/>
        </w:rPr>
        <w:t>　　南沙区委宣传部供图</w:t>
      </w:r>
    </w:p>
    <w:p>
      <w:pPr>
        <w:keepNext w:val="0"/>
        <w:keepLines w:val="0"/>
        <w:widowControl/>
        <w:suppressLineNumbers w:val="0"/>
        <w:spacing w:before="300" w:beforeAutospacing="0" w:after="0" w:afterAutospacing="0"/>
        <w:ind w:left="0" w:right="0"/>
        <w:jc w:val="left"/>
      </w:pPr>
      <w:r>
        <w:rPr>
          <w:rFonts w:hint="eastAsia" w:ascii="宋体" w:hAnsi="宋体" w:eastAsia="宋体" w:cs="宋体"/>
          <w:caps w:val="0"/>
          <w:color w:val="333333"/>
          <w:spacing w:val="0"/>
          <w:kern w:val="0"/>
          <w:sz w:val="24"/>
          <w:szCs w:val="24"/>
          <w:shd w:val="clear" w:fill="FFFFFF"/>
          <w:lang w:val="en-US" w:eastAsia="zh-CN" w:bidi="ar"/>
        </w:rPr>
        <w:drawing>
          <wp:inline distT="0" distB="0" distL="114300" distR="114300">
            <wp:extent cx="3810000" cy="19621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810000" cy="19621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226" w:afterAutospacing="0" w:line="294" w:lineRule="atLeast"/>
        <w:ind w:left="0" w:right="0"/>
        <w:jc w:val="both"/>
      </w:pPr>
      <w:r>
        <w:rPr>
          <w:rFonts w:hint="eastAsia" w:ascii="宋体" w:hAnsi="宋体" w:eastAsia="宋体" w:cs="宋体"/>
          <w:caps w:val="0"/>
          <w:color w:val="333333"/>
          <w:spacing w:val="0"/>
          <w:sz w:val="21"/>
          <w:szCs w:val="21"/>
          <w:shd w:val="clear" w:fill="FFFFFF"/>
        </w:rPr>
        <w:t>　　天津市肿瘤医院空港医院医务人员在化验样本。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226" w:afterAutospacing="0" w:line="294" w:lineRule="atLeast"/>
        <w:ind w:left="0" w:right="0"/>
        <w:jc w:val="both"/>
      </w:pPr>
      <w:r>
        <w:rPr>
          <w:rFonts w:hint="eastAsia" w:ascii="宋体" w:hAnsi="宋体" w:eastAsia="宋体" w:cs="宋体"/>
          <w:caps w:val="0"/>
          <w:color w:val="333333"/>
          <w:spacing w:val="0"/>
          <w:sz w:val="21"/>
          <w:szCs w:val="21"/>
          <w:shd w:val="clear" w:fill="FFFFFF"/>
        </w:rPr>
        <w:t>　　资料图片</w:t>
      </w:r>
    </w:p>
    <w:p>
      <w:pPr>
        <w:keepNext w:val="0"/>
        <w:keepLines w:val="0"/>
        <w:widowControl/>
        <w:suppressLineNumbers w:val="0"/>
        <w:spacing w:before="300" w:beforeAutospacing="0" w:after="0" w:afterAutospacing="0"/>
        <w:ind w:left="0" w:right="0"/>
        <w:jc w:val="left"/>
      </w:pPr>
      <w:r>
        <w:rPr>
          <w:rFonts w:hint="eastAsia" w:ascii="宋体" w:hAnsi="宋体" w:eastAsia="宋体" w:cs="宋体"/>
          <w:caps w:val="0"/>
          <w:color w:val="333333"/>
          <w:spacing w:val="0"/>
          <w:kern w:val="0"/>
          <w:sz w:val="24"/>
          <w:szCs w:val="24"/>
          <w:shd w:val="clear" w:fill="FFFFFF"/>
          <w:lang w:val="en-US" w:eastAsia="zh-CN" w:bidi="ar"/>
        </w:rPr>
        <w:drawing>
          <wp:inline distT="0" distB="0" distL="114300" distR="114300">
            <wp:extent cx="3810000" cy="187642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3810000" cy="18764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226" w:afterAutospacing="0" w:line="294" w:lineRule="atLeast"/>
        <w:ind w:left="0" w:right="0"/>
        <w:jc w:val="both"/>
      </w:pPr>
      <w:r>
        <w:rPr>
          <w:rFonts w:hint="eastAsia" w:ascii="宋体" w:hAnsi="宋体" w:eastAsia="宋体" w:cs="宋体"/>
          <w:caps w:val="0"/>
          <w:color w:val="333333"/>
          <w:spacing w:val="0"/>
          <w:sz w:val="21"/>
          <w:szCs w:val="21"/>
          <w:shd w:val="clear" w:fill="FFFFFF"/>
        </w:rPr>
        <w:t>　　福建自贸试验区厦门片区，航空维修基地的工程师在进行发动机维修作业。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226" w:afterAutospacing="0" w:line="294" w:lineRule="atLeast"/>
        <w:ind w:left="0" w:right="0"/>
        <w:jc w:val="both"/>
      </w:pPr>
      <w:r>
        <w:rPr>
          <w:rFonts w:hint="eastAsia" w:ascii="宋体" w:hAnsi="宋体" w:eastAsia="宋体" w:cs="宋体"/>
          <w:caps w:val="0"/>
          <w:color w:val="333333"/>
          <w:spacing w:val="0"/>
          <w:sz w:val="21"/>
          <w:szCs w:val="21"/>
          <w:shd w:val="clear" w:fill="FFFFFF"/>
        </w:rPr>
        <w:t>　　资料图片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建设自贸试验区是以习近平同志为核心的党中央在新时代推进改革开放的重要战略举措。2015年4月，广东、天津、福建自贸试验区挂牌设立。10年来，这3个自贸试验区以制度创新为核心，大胆试、大胆闯，全面落实总体方案、深化方案和对接国际高标准经贸规则试点方案赋予的800多项改革试点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当前，美国滥施关税，扰乱全球正常经贸合作秩序，对全球贸易投资增长造成负面影响。我国将坚定不移办好自己的事，将改革开放进行到底。记者近期奔赴广东、天津、福建三地，探寻自贸试验区的改革开放密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——编  者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广东自贸试验区——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港澳人才也能在内地评职称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南海之滨、伶仃洋畔，位于粤港澳大湾区几何中心的广东自贸试验区南沙片区，蕉门河两岸从旧厂房遍布变身“城市客厅”，明珠湾起步区逐渐成为自贸试验区总部经济聚集地……一座现代化滨海新城逐渐成形。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在南沙片区的建设过程中，一群港澳工程人才深度参与，成为全国首批获颁内地职称的港澳工程师。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整个职称申报过程十分顺畅。”澳门注册土木工程师胡祖杰介绍，南沙专门制定了港澳人才的职称申报指南，开展港澳人才职称评审线上培训课程，并为港澳申报人提供政策解读、申报流程指导等便利服务。获得这一职称，对于他在内地尤其是粤港澳大湾区拓展业务非常重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在澳门出生长大的胡祖杰，深耕建筑领域数十年，曾参与澳门多项重要的开发规划、设计工作。2018年，胡祖杰从澳门来到珠海横琴工作；2021年，南沙率先开展粤港澳大湾区职称评价体系建设，他随即选择来到南沙，担任华众联创工程顾问三地联营事务所南沙分公司董事，并申请人才职称认定。作为一名澳门籍土木工程师，胡祖杰在南沙被评为广东省建筑工程管理正高级工程师，并获得港澳工程及相关企业资质和专业人士执业备案，成为内地首批16位获得职称证书的港澳工程人才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据介绍，南沙片区出台的《广州市南沙区建筑和交通工程专业港澳人才职称评价管理办法（试行）》，成功突破了港澳人才申报职称的技术壁垒。取得职称证书的港澳工程师，在内地承接和开展建筑工程项目时，可以享有与内地工程师相同的待遇，职业资格对接有了实质性突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【链接】10年来，广东自贸试验区进出口总额由2015年的约1100亿元增长到2024年的约7400亿元，年均增速超过24%。自贸试验区累计设立港澳资企业2.9万家，实际使用港澳资金539亿美元，均占广东省20%以上。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广东自贸试验区深入推进与港澳规则机制的衔接，实现了货物、服务、资金、人员等要素的自由便利流动，全力推进建设粤港澳深度合作示范区。”广东省商务厅党组成员、副厅长双德会介绍，广东自贸试验区率先开展港澳人才职称评价试点，出台首部建筑和交通工程专业港澳人才的职称评价管理办法，对26类港澳专业人士的职业资格予以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天津自贸试验区——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患者不出国用上特需进口药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6岁的希希是一名神经母细胞瘤患者，在接受了手术和化疗后，为进一步降低复发率，希希的父亲带着孩子从外地来到天津市肿瘤医院空港医院进行免疫治疗。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这款免疫药还没有在国内上市，我们听说天津自贸试验区有试点政策。2021年6月开始在天津市肿瘤医院空港医院治疗，到现在结疗差不多3年，每年复查的情况都还可以。”希希的父亲说，这种免疫药是一种肿瘤靶向药，用于治疗12月龄以上的高危神经母细胞瘤患者。为了让国内同步享受到国际先进药品和治疗技术，天津自贸试验区从2019年起向国家药监局申请建立临床急需进口药物绿色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2020年，在天津市商务局、天津自贸试验区管委会推动下，天津自贸试验区机场片区重点开展了临床急需进口药品绿色通道试点，探索引进国外已上市、国内未上市的进口特殊急需药品，率先在天津市肿瘤医院空港医院开展临床应用，打通临床急需药品进口渠道，提高创新药物可及性，降低用药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天津市肿瘤医院空港医院党委副书记、院长郝继辉介绍，截至2025年2月，该院共13批次临床急需进口药品通过国家药监局审批，涉及5款药品、17名患者成功用药。患者不用走出国门就可以用上特需进口药品，降低了用药成本，每名患者的治疗费用约为国外的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有序扩大医疗领域对外开放，天津自贸试验区在不断探索。不久前，基因与细胞治疗中心在天津市肿瘤医院空港医院揭牌，这是天津自贸试验区“探索制定细胞治疗‘风险分级、准入分类’政策”任务的具体落实举措。同样位于天津自贸试验区机场片区的天津医科大学总医院空港医院，也已获批开展临床急需进口药品绿色通道试点，首批两单药品已获批，预计将于6月开展试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【链接】10年来，天津自贸试验区年均实际使用外资超过20亿美元。天津市商务局局长、天津自贸试验区管委会副主任孙剑楠介绍，自贸试验区以天津1%的土地，贡献了超过全市40%的实际使用外资额。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天津自贸试验区管委会专职副主任、滨海新区副区长梁益铭介绍，天津自贸试验区坚持深化改革开放驱动产业创新发展。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生物医药创新发展方面，开展临床急需进口药品绿色通道试点，成立自贸试验区基因与细胞治疗中心；创新推出共享经济企业综合服务系统，网络货运产业规模接近全国1/4；形成包括数据分类分级标准规范和数据出境负面清单的数据跨境政策体系，大幅降低企业数据出境合规成本，充分释放数据要素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福建自贸试验区——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产业竞争优势进一步增强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走进位于福建自贸试验区福州片区的新大陆科技集团展厅，一枚指甲盖大小的芯片被镶嵌在水晶奖杯里，这是新大陆科技集团自研的二维码解码芯片。自1994年成立至今，集团已成长为一家以数字技术为核心，拥有算法、芯片、软件等全产业链能力的数字化复合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作为最早进入福州片区的企业之一，这10年，企业感受如何？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自贸试验区打造的完善开放生态为我们开拓国际市场插上了腾飞的‘翅膀’。”新大陆科技集团副总裁丁朝杰说，得益于自贸试验区的各项制度创新，集团的业务已扩展到130多个国家和地区，全球支付终端累计交付逾1亿台，来自国际市场的收入占比逐年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企业拓展国际市场，如何解决资金使用时间不平衡、流通渠道不畅通、银行机构操作不同步等问题？福州片区积极协调银行机构为新大陆科技集团办理跨境资金集中运营业务，有效满足了企业的资金调拨需求，提升了跨境资金划转和使用便利度，降低了企业融资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政策持续创新，产业竞争优势进一步增强。福建自贸试验区厦门片区管委会携手厦门海关，根据本地航空维修境外订单占比超80%的特点，开展区外航空保税维修业务，填补了航空维修海关监管领域政策制度的空白，推动产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如今，福州片区拥有全国第四个物联网产业示范基地，集聚274家物联网企业。依托该集群，新大陆科技集团成为福建省物联网产业联盟的牵头单位，整合上下游企业、物联网应用商、科研机构、电信运营商等资源，持续提升国际竞争力。与此同时，厦门片区吸引了港机、通用电气、国泰、新科工程等16家航空维修及配套领域的知名企业投资兴业。2024年，厦门航空维修产业实现营收161.45亿元，创历史新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【链接】10年来，福建自贸试验区累计新设企业13.8万户，是挂牌前的8.8倍。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福建省商务厅副厅长刘德培介绍，当地以制度创新推动高质量发展，巩固提升一批、新建创建一批、联动发展一批，重点打造32个自贸创新发展平台。探索推进航空维修、数字产业、跨境电商等全产业链集成创新，培育壮大特色优势产业，打造全国领先的第三方航空维修基地、二手飞机融资租赁集聚区。上线运营环球供应链与离岸贸易金融服务平台，推动离岸贸易业务类型从离岸转手买卖延伸到全球采购、委托境外加工、境外承包工程第三国购买货物等，2018年8月业务启动至今，厦门片区离岸贸易业务量达700多亿美元，位居全国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shd w:val="clear" w:fill="FFFFFF"/>
        </w:rPr>
        <w:t>　　版式设计：张丹峰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mNiNGEyOWYwNTIwZWRkYzMwMzUzYzdkNjI1YzYifQ=="/>
    <w:docVar w:name="KSO_WPS_MARK_KEY" w:val="3d9bd391-e3ea-4068-b3e7-c50eb416fe05"/>
  </w:docVars>
  <w:rsids>
    <w:rsidRoot w:val="00000000"/>
    <w:rsid w:val="07FF5363"/>
    <w:rsid w:val="33347FC4"/>
    <w:rsid w:val="449718FB"/>
    <w:rsid w:val="5D940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3155</Words>
  <Characters>3253</Characters>
  <Lines>0</Lines>
  <Paragraphs>0</Paragraphs>
  <TotalTime>1</TotalTime>
  <ScaleCrop>false</ScaleCrop>
  <LinksUpToDate>false</LinksUpToDate>
  <CharactersWithSpaces>3345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2025-04-21T07:28:00Z</dcterms:created>
  <dc:creator>YZZX</dc:creator>
  <cp:lastModifiedBy>庆阳</cp:lastModifiedBy>
  <dcterms:modified xsi:type="dcterms:W3CDTF">2025-04-24T08:47:27Z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D0D93FDFEFA843AD956BF9AF70EC1AF4</vt:lpwstr>
  </property>
</Properties>
</file>