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30"/>
          <w:szCs w:val="30"/>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生物学科导学案</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s="仿宋" w:asciiTheme="minorEastAsia" w:hAnsiTheme="minorEastAsia" w:eastAsiaTheme="minorEastAsia"/>
          <w:b/>
          <w:bCs/>
          <w:szCs w:val="21"/>
          <w:lang w:eastAsia="zh-CN"/>
        </w:rPr>
      </w:pPr>
      <w:r>
        <w:rPr>
          <w:rFonts w:hint="eastAsia" w:ascii="黑体" w:hAnsi="黑体" w:eastAsia="黑体" w:cs="黑体"/>
          <w:b/>
          <w:bCs/>
          <w:sz w:val="28"/>
          <w:szCs w:val="28"/>
          <w:lang w:val="en-US" w:eastAsia="zh-CN"/>
        </w:rPr>
        <w:t xml:space="preserve"> </w:t>
      </w:r>
      <w:r>
        <w:rPr>
          <w:rFonts w:hint="eastAsia" w:ascii="楷体" w:hAnsi="楷体" w:eastAsia="楷体" w:cs="楷体"/>
          <w:b/>
          <w:bCs/>
          <w:sz w:val="28"/>
          <w:szCs w:val="28"/>
          <w:lang w:val="en-US" w:eastAsia="zh-CN"/>
        </w:rPr>
        <w:t>第35讲 基因工程及生物技术的安全性与伦理问题（2）</w:t>
      </w:r>
      <w:r>
        <w:rPr>
          <w:rFonts w:hint="eastAsia" w:ascii="黑体" w:hAnsi="黑体" w:eastAsia="黑体" w:cs="黑体"/>
          <w:b/>
          <w:bCs/>
          <w:sz w:val="28"/>
          <w:szCs w:val="28"/>
          <w:lang w:val="en-US" w:eastAsia="zh-CN"/>
        </w:rPr>
        <w:t xml:space="preserve">  </w:t>
      </w:r>
      <w:r>
        <w:rPr>
          <w:rFonts w:hint="eastAsia" w:ascii="黑体" w:hAnsi="黑体" w:eastAsia="黑体" w:cs="黑体"/>
          <w:sz w:val="28"/>
          <w:szCs w:val="28"/>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sz w:val="21"/>
          <w:szCs w:val="21"/>
          <w:lang w:eastAsia="zh-CN"/>
        </w:rPr>
      </w:pPr>
      <w:r>
        <w:rPr>
          <w:rFonts w:hint="eastAsia" w:ascii="楷体" w:hAnsi="楷体" w:eastAsia="楷体" w:cs="楷体"/>
          <w:bCs/>
          <w:sz w:val="21"/>
          <w:szCs w:val="21"/>
        </w:rPr>
        <w:t>研制人：</w:t>
      </w:r>
      <w:r>
        <w:rPr>
          <w:rFonts w:hint="eastAsia" w:ascii="楷体" w:hAnsi="楷体" w:eastAsia="楷体" w:cs="楷体"/>
          <w:bCs/>
          <w:sz w:val="21"/>
          <w:szCs w:val="21"/>
          <w:lang w:val="en-US" w:eastAsia="zh-CN"/>
        </w:rPr>
        <w:t>康建莉</w:t>
      </w:r>
      <w:r>
        <w:rPr>
          <w:rFonts w:hint="eastAsia" w:ascii="楷体" w:hAnsi="楷体" w:eastAsia="楷体" w:cs="楷体"/>
          <w:bCs/>
          <w:sz w:val="21"/>
          <w:szCs w:val="21"/>
        </w:rPr>
        <w:t xml:space="preserve">    审核人：</w:t>
      </w:r>
      <w:r>
        <w:rPr>
          <w:rFonts w:hint="eastAsia" w:ascii="楷体" w:hAnsi="楷体" w:eastAsia="楷体" w:cs="楷体"/>
          <w:bCs/>
          <w:sz w:val="21"/>
          <w:szCs w:val="21"/>
          <w:lang w:val="en-US" w:eastAsia="zh-CN"/>
        </w:rPr>
        <w:t>苏楠楠</w:t>
      </w:r>
    </w:p>
    <w:p>
      <w:pPr>
        <w:keepNext w:val="0"/>
        <w:keepLines w:val="0"/>
        <w:pageBreakBefore w:val="0"/>
        <w:kinsoku/>
        <w:wordWrap/>
        <w:overflowPunct/>
        <w:topLinePunct w:val="0"/>
        <w:autoSpaceDE/>
        <w:autoSpaceDN/>
        <w:bidi w:val="0"/>
        <w:adjustRightInd/>
        <w:spacing w:line="312" w:lineRule="auto"/>
        <w:jc w:val="center"/>
        <w:rPr>
          <w:rFonts w:hint="eastAsia" w:ascii="楷体" w:hAnsi="楷体" w:eastAsia="楷体" w:cs="楷体"/>
          <w:b/>
          <w:sz w:val="24"/>
          <w:szCs w:val="24"/>
        </w:rPr>
      </w:pPr>
      <w:r>
        <w:rPr>
          <w:rFonts w:hint="eastAsia" w:ascii="楷体" w:hAnsi="楷体" w:eastAsia="楷体" w:cs="楷体"/>
          <w:bCs/>
          <w:sz w:val="21"/>
          <w:szCs w:val="21"/>
        </w:rPr>
        <w:t>班级：</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姓名：</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学号：</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授课日期：</w:t>
      </w:r>
      <w:r>
        <w:rPr>
          <w:rFonts w:hint="eastAsia" w:ascii="楷体" w:hAnsi="楷体" w:eastAsia="楷体" w:cs="楷体"/>
          <w:bCs/>
          <w:sz w:val="21"/>
          <w:szCs w:val="21"/>
          <w:u w:val="single"/>
          <w:lang w:val="en-US" w:eastAsia="zh-CN"/>
        </w:rPr>
        <w:t>2025</w:t>
      </w:r>
      <w:r>
        <w:rPr>
          <w:rFonts w:hint="eastAsia" w:ascii="楷体" w:hAnsi="楷体" w:eastAsia="楷体" w:cs="楷体"/>
          <w:bCs/>
          <w:sz w:val="21"/>
          <w:szCs w:val="21"/>
          <w:u w:val="single"/>
        </w:rPr>
        <w:t>年</w:t>
      </w:r>
      <w:r>
        <w:rPr>
          <w:rFonts w:hint="eastAsia" w:ascii="楷体" w:hAnsi="楷体" w:eastAsia="楷体" w:cs="楷体"/>
          <w:bCs/>
          <w:sz w:val="21"/>
          <w:szCs w:val="21"/>
          <w:u w:val="single"/>
          <w:lang w:val="en-US" w:eastAsia="zh-CN"/>
        </w:rPr>
        <w:t>04</w:t>
      </w:r>
      <w:r>
        <w:rPr>
          <w:rFonts w:hint="eastAsia" w:ascii="楷体" w:hAnsi="楷体" w:eastAsia="楷体" w:cs="楷体"/>
          <w:bCs/>
          <w:sz w:val="21"/>
          <w:szCs w:val="21"/>
          <w:u w:val="single"/>
        </w:rPr>
        <w:t>月</w:t>
      </w:r>
      <w:r>
        <w:rPr>
          <w:rFonts w:hint="eastAsia" w:ascii="楷体" w:hAnsi="楷体" w:eastAsia="楷体" w:cs="楷体"/>
          <w:bCs/>
          <w:sz w:val="21"/>
          <w:szCs w:val="21"/>
          <w:u w:val="single"/>
          <w:lang w:val="en-US" w:eastAsia="zh-CN"/>
        </w:rPr>
        <w:t>24</w:t>
      </w:r>
      <w:r>
        <w:rPr>
          <w:rFonts w:hint="eastAsia" w:ascii="楷体" w:hAnsi="楷体" w:eastAsia="楷体" w:cs="楷体"/>
          <w:bCs/>
          <w:sz w:val="21"/>
          <w:szCs w:val="21"/>
          <w:u w:val="single"/>
        </w:rPr>
        <w:t>日</w:t>
      </w:r>
    </w:p>
    <w:p>
      <w:pPr>
        <w:keepNext w:val="0"/>
        <w:keepLines w:val="0"/>
        <w:pageBreakBefore w:val="0"/>
        <w:widowControl w:val="0"/>
        <w:kinsoku/>
        <w:wordWrap/>
        <w:overflowPunct/>
        <w:topLinePunct w:val="0"/>
        <w:autoSpaceDE/>
        <w:autoSpaceDN/>
        <w:bidi w:val="0"/>
        <w:adjustRightInd/>
        <w:snapToGrid/>
        <w:spacing w:line="288" w:lineRule="auto"/>
        <w:ind w:right="0" w:rightChars="0"/>
        <w:jc w:val="left"/>
        <w:textAlignment w:val="auto"/>
        <w:outlineLvl w:val="9"/>
        <w:rPr>
          <w:rFonts w:hint="eastAsia"/>
          <w:b/>
          <w:bCs/>
          <w:szCs w:val="21"/>
          <w:lang w:val="en-US" w:eastAsia="zh-CN"/>
        </w:rPr>
      </w:pPr>
      <w:r>
        <w:rPr>
          <w:rFonts w:hint="eastAsia"/>
          <w:b/>
          <w:bCs/>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概述基因工程是在遗传学、微生物学、生物化学和分子生物学等学科基础上发展而来的</w:t>
      </w:r>
      <w:r>
        <w:rPr>
          <w:rFonts w:hint="eastAsia" w:ascii="宋体" w:hAnsi="宋体" w:eastAsia="宋体" w:cs="宋体"/>
          <w:sz w:val="21"/>
          <w:szCs w:val="21"/>
          <w:lang w:eastAsia="zh-CN"/>
        </w:rPr>
        <w:t>；</w:t>
      </w:r>
      <w:r>
        <w:rPr>
          <w:rFonts w:hint="eastAsia" w:ascii="宋体" w:hAnsi="宋体" w:eastAsia="宋体" w:cs="宋体"/>
          <w:sz w:val="21"/>
          <w:szCs w:val="21"/>
        </w:rPr>
        <w:t>阐明DNA重组技术的实现需要利用限制性内切核酸酶、DNA连接酶和载体三种基本工具</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【学习内容】</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val="0"/>
          <w:bCs w:val="0"/>
          <w:sz w:val="21"/>
          <w:szCs w:val="21"/>
        </w:rPr>
        <w:t>导学</w:t>
      </w:r>
      <w:r>
        <w:rPr>
          <w:rFonts w:hint="eastAsia" w:ascii="宋体" w:hAnsi="宋体" w:eastAsia="宋体" w:cs="宋体"/>
          <w:b/>
          <w:bCs/>
          <w:sz w:val="21"/>
          <w:szCs w:val="21"/>
        </w:rPr>
        <w:t xml:space="preserve">】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考点一 </w:t>
      </w:r>
      <w:r>
        <w:rPr>
          <w:rFonts w:hint="eastAsia" w:hAnsi="宋体" w:cs="宋体"/>
          <w:sz w:val="21"/>
          <w:szCs w:val="21"/>
          <w:lang w:val="en-US" w:eastAsia="zh-CN"/>
        </w:rPr>
        <w:t>重组DNA技术的基本工具与基本操作程序</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．基本工程的</w:t>
      </w:r>
      <w:r>
        <w:rPr>
          <w:rFonts w:hint="eastAsia" w:ascii="宋体" w:hAnsi="宋体" w:eastAsia="宋体" w:cs="宋体"/>
          <w:sz w:val="21"/>
          <w:szCs w:val="21"/>
          <w:lang w:val="en-US" w:eastAsia="zh-CN"/>
        </w:rPr>
        <w:t>基本操作程序</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目的基因的获取</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①</w:t>
      </w:r>
      <w:r>
        <w:rPr>
          <w:rFonts w:hint="eastAsia" w:ascii="宋体" w:hAnsi="宋体" w:eastAsia="宋体" w:cs="宋体"/>
          <w:sz w:val="21"/>
          <w:szCs w:val="21"/>
        </w:rPr>
        <w:t>化学合成法直接人工合成目的基因：一般为比较小的目的基因。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②</w:t>
      </w:r>
      <w:r>
        <w:rPr>
          <w:rFonts w:hint="eastAsia" w:ascii="宋体" w:hAnsi="宋体" w:eastAsia="宋体" w:cs="宋体"/>
          <w:sz w:val="21"/>
          <w:szCs w:val="21"/>
        </w:rPr>
        <w:t>基因文库获取目的基因：来源可分为</w:t>
      </w:r>
      <w:r>
        <w:rPr>
          <w:rFonts w:hint="eastAsia" w:ascii="宋体" w:hAnsi="宋体" w:eastAsia="宋体" w:cs="宋体"/>
          <w:sz w:val="21"/>
          <w:szCs w:val="21"/>
          <w:lang w:val="en-US" w:eastAsia="zh-CN"/>
        </w:rPr>
        <w:t>_________</w:t>
      </w:r>
      <w:r>
        <w:rPr>
          <w:rFonts w:hint="eastAsia" w:ascii="宋体" w:hAnsi="宋体" w:eastAsia="宋体" w:cs="宋体"/>
          <w:sz w:val="21"/>
          <w:szCs w:val="21"/>
        </w:rPr>
        <w:t>文库和</w:t>
      </w:r>
      <w:r>
        <w:rPr>
          <w:rFonts w:hint="eastAsia" w:ascii="宋体" w:hAnsi="宋体" w:eastAsia="宋体" w:cs="宋体"/>
          <w:sz w:val="21"/>
          <w:szCs w:val="21"/>
          <w:lang w:val="en-US" w:eastAsia="zh-CN"/>
        </w:rPr>
        <w:t>___________</w:t>
      </w:r>
      <w:r>
        <w:rPr>
          <w:rFonts w:hint="eastAsia" w:ascii="宋体" w:hAnsi="宋体" w:eastAsia="宋体" w:cs="宋体"/>
          <w:sz w:val="21"/>
          <w:szCs w:val="21"/>
        </w:rPr>
        <w:t>文库。</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基因组文库：指含有某种生物体</w:t>
      </w:r>
      <w:r>
        <w:rPr>
          <w:rFonts w:hint="eastAsia" w:ascii="宋体" w:hAnsi="宋体" w:eastAsia="宋体" w:cs="宋体"/>
          <w:sz w:val="21"/>
          <w:szCs w:val="21"/>
          <w:lang w:val="en-US" w:eastAsia="zh-CN"/>
        </w:rPr>
        <w:t>________</w:t>
      </w:r>
      <w:r>
        <w:rPr>
          <w:rFonts w:hint="eastAsia" w:ascii="宋体" w:hAnsi="宋体" w:eastAsia="宋体" w:cs="宋体"/>
          <w:sz w:val="21"/>
          <w:szCs w:val="21"/>
        </w:rPr>
        <w:t>基因片段的</w:t>
      </w:r>
      <w:r>
        <w:rPr>
          <w:rFonts w:hint="eastAsia" w:ascii="宋体" w:hAnsi="宋体" w:eastAsia="宋体" w:cs="宋体"/>
          <w:sz w:val="21"/>
          <w:szCs w:val="21"/>
          <w:lang w:val="en-US" w:eastAsia="zh-CN"/>
        </w:rPr>
        <w:t>___________</w:t>
      </w:r>
      <w:r>
        <w:rPr>
          <w:rFonts w:hint="eastAsia" w:ascii="宋体" w:hAnsi="宋体" w:eastAsia="宋体" w:cs="宋体"/>
          <w:sz w:val="21"/>
          <w:szCs w:val="21"/>
        </w:rPr>
        <w:t>的克隆群体。从基因组文库中筛选某种目的基因，一般采用</w:t>
      </w:r>
      <w:r>
        <w:rPr>
          <w:rFonts w:hint="eastAsia" w:ascii="宋体" w:hAnsi="宋体" w:eastAsia="宋体" w:cs="宋体"/>
          <w:sz w:val="21"/>
          <w:szCs w:val="21"/>
          <w:lang w:val="en-US" w:eastAsia="zh-CN"/>
        </w:rPr>
        <w:t>____________________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cDNA文库：从组织细胞中提取</w:t>
      </w:r>
      <w:r>
        <w:rPr>
          <w:rFonts w:hint="eastAsia" w:ascii="宋体" w:hAnsi="宋体" w:eastAsia="宋体" w:cs="宋体"/>
          <w:sz w:val="21"/>
          <w:szCs w:val="21"/>
          <w:lang w:val="en-US" w:eastAsia="zh-CN"/>
        </w:rPr>
        <w:t>___________</w:t>
      </w:r>
      <w:r>
        <w:rPr>
          <w:rFonts w:hint="eastAsia" w:ascii="宋体" w:hAnsi="宋体" w:eastAsia="宋体" w:cs="宋体"/>
          <w:sz w:val="21"/>
          <w:szCs w:val="21"/>
        </w:rPr>
        <w:t>，逆转录成</w:t>
      </w:r>
      <w:r>
        <w:rPr>
          <w:rFonts w:hint="eastAsia" w:ascii="宋体" w:hAnsi="宋体" w:eastAsia="宋体" w:cs="宋体"/>
          <w:sz w:val="21"/>
          <w:szCs w:val="21"/>
          <w:lang w:val="en-US" w:eastAsia="zh-CN"/>
        </w:rPr>
        <w:t>_______________</w:t>
      </w:r>
      <w:r>
        <w:rPr>
          <w:rFonts w:hint="eastAsia" w:ascii="宋体" w:hAnsi="宋体" w:eastAsia="宋体" w:cs="宋体"/>
          <w:sz w:val="21"/>
          <w:szCs w:val="21"/>
        </w:rPr>
        <w:t>，与适当载体连接后转化宿主，包含着细胞全部mRNA信息的cDNA克隆集合称为该组织细胞的cDNA文库。</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③</w:t>
      </w:r>
      <w:r>
        <w:rPr>
          <w:rFonts w:hint="eastAsia" w:ascii="宋体" w:hAnsi="宋体" w:eastAsia="宋体" w:cs="宋体"/>
          <w:sz w:val="21"/>
          <w:szCs w:val="21"/>
        </w:rPr>
        <w:t>PCR技术</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过程</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变性：94 ℃条件下受热</w:t>
      </w:r>
      <w:r>
        <w:rPr>
          <w:rFonts w:hint="eastAsia" w:ascii="宋体" w:hAnsi="宋体" w:eastAsia="宋体" w:cs="宋体"/>
          <w:sz w:val="21"/>
          <w:szCs w:val="21"/>
          <w:lang w:val="en-US" w:eastAsia="zh-CN"/>
        </w:rPr>
        <w:t>____________</w:t>
      </w:r>
      <w:r>
        <w:rPr>
          <w:rFonts w:hint="eastAsia" w:ascii="宋体" w:hAnsi="宋体" w:eastAsia="宋体" w:cs="宋体"/>
          <w:sz w:val="21"/>
          <w:szCs w:val="21"/>
        </w:rPr>
        <w:t>后解链为单链</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退火：55 ℃条件下，</w:t>
      </w:r>
      <w:r>
        <w:rPr>
          <w:rFonts w:hint="eastAsia" w:ascii="宋体" w:hAnsi="宋体" w:eastAsia="宋体" w:cs="宋体"/>
          <w:sz w:val="21"/>
          <w:szCs w:val="21"/>
          <w:lang w:val="en-US" w:eastAsia="zh-CN"/>
        </w:rPr>
        <w:t>_______</w:t>
      </w:r>
      <w:r>
        <w:rPr>
          <w:rFonts w:hint="eastAsia" w:ascii="宋体" w:hAnsi="宋体" w:eastAsia="宋体" w:cs="宋体"/>
          <w:sz w:val="21"/>
          <w:szCs w:val="21"/>
        </w:rPr>
        <w:t>与单链相应互补序列结合</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延伸：72 ℃条件下在</w:t>
      </w:r>
      <w:r>
        <w:rPr>
          <w:rFonts w:hint="eastAsia" w:ascii="宋体" w:hAnsi="宋体" w:eastAsia="宋体" w:cs="宋体"/>
          <w:sz w:val="21"/>
          <w:szCs w:val="21"/>
          <w:lang w:val="en-US" w:eastAsia="zh-CN"/>
        </w:rPr>
        <w:t>________________________</w:t>
      </w:r>
      <w:r>
        <w:rPr>
          <w:rFonts w:hint="eastAsia" w:ascii="宋体" w:hAnsi="宋体" w:eastAsia="宋体" w:cs="宋体"/>
          <w:sz w:val="21"/>
          <w:szCs w:val="21"/>
        </w:rPr>
        <w:t>作用下合成子链</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b.</w:t>
      </w:r>
      <w:r>
        <w:rPr>
          <w:rFonts w:hint="eastAsia" w:ascii="宋体" w:hAnsi="宋体" w:eastAsia="宋体" w:cs="宋体"/>
          <w:sz w:val="21"/>
          <w:szCs w:val="21"/>
        </w:rPr>
        <w:t>PCR技术和DNA复制的比较</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"E:\\吕芳\\2022\\一轮\\生物\\03\\A+124.TIF"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"D:\\芳\\芳\\吕芳\\10\\A+124.TIF"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808605" cy="3096895"/>
            <wp:effectExtent l="0" t="0" r="10795"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5" r:link="rId6"/>
                    <a:stretch>
                      <a:fillRect/>
                    </a:stretch>
                  </pic:blipFill>
                  <pic:spPr>
                    <a:xfrm>
                      <a:off x="0" y="0"/>
                      <a:ext cx="2808605" cy="309689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DNA的电泳鉴定</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"E:\\吕芳\\2022\\一轮\\生物\\03\\A+126.TIF"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"D:\\芳\\芳\\吕芳\\10\\A+126.TIF"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846705" cy="2060575"/>
            <wp:effectExtent l="0" t="0" r="10795" b="952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7"/>
                    <a:stretch>
                      <a:fillRect/>
                    </a:stretch>
                  </pic:blipFill>
                  <pic:spPr>
                    <a:xfrm>
                      <a:off x="0" y="0"/>
                      <a:ext cx="2846705" cy="206057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【导思】</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在PCR过程中实际加入的为dNTP(即dATP、dGTP、dTTP、dCTP)，既可作为合成</w:t>
      </w:r>
      <w:r>
        <w:rPr>
          <w:rFonts w:hint="eastAsia" w:ascii="宋体" w:hAnsi="宋体" w:eastAsia="宋体" w:cs="宋体"/>
          <w:sz w:val="21"/>
          <w:szCs w:val="21"/>
          <w:lang w:val="en-US" w:eastAsia="zh-CN"/>
        </w:rPr>
        <w:t>__________</w:t>
      </w:r>
      <w:r>
        <w:rPr>
          <w:rFonts w:hint="eastAsia" w:ascii="宋体" w:hAnsi="宋体" w:eastAsia="宋体" w:cs="宋体"/>
          <w:sz w:val="21"/>
          <w:szCs w:val="21"/>
        </w:rPr>
        <w:t>的原料，又可为DNA的合成提供</w:t>
      </w:r>
      <w:r>
        <w:rPr>
          <w:rFonts w:hint="eastAsia" w:ascii="宋体" w:hAnsi="宋体" w:eastAsia="宋体" w:cs="宋体"/>
          <w:sz w:val="21"/>
          <w:szCs w:val="21"/>
          <w:lang w:val="en-US" w:eastAsia="zh-CN"/>
        </w:rPr>
        <w:t>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引物既可以是DNA单链，也可以为</w:t>
      </w:r>
      <w:r>
        <w:rPr>
          <w:rFonts w:hint="eastAsia" w:ascii="宋体" w:hAnsi="宋体" w:eastAsia="宋体" w:cs="宋体"/>
          <w:sz w:val="21"/>
          <w:szCs w:val="21"/>
          <w:lang w:val="en-US" w:eastAsia="zh-CN"/>
        </w:rPr>
        <w:t>_______________</w:t>
      </w:r>
      <w:r>
        <w:rPr>
          <w:rFonts w:hint="eastAsia" w:ascii="宋体" w:hAnsi="宋体" w:eastAsia="宋体" w:cs="宋体"/>
          <w:sz w:val="21"/>
          <w:szCs w:val="21"/>
        </w:rPr>
        <w:t>。细胞内的DNA进行复制时，也需要</w:t>
      </w:r>
      <w:r>
        <w:rPr>
          <w:rFonts w:hint="eastAsia" w:ascii="宋体" w:hAnsi="宋体" w:eastAsia="宋体" w:cs="宋体"/>
          <w:sz w:val="21"/>
          <w:szCs w:val="21"/>
          <w:lang w:val="en-US" w:eastAsia="zh-CN"/>
        </w:rPr>
        <w:t>________</w:t>
      </w:r>
      <w:r>
        <w:rPr>
          <w:rFonts w:hint="eastAsia" w:ascii="宋体" w:hAnsi="宋体" w:eastAsia="宋体" w:cs="宋体"/>
          <w:sz w:val="21"/>
          <w:szCs w:val="21"/>
        </w:rPr>
        <w:t>，一般为RNA片段。</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真核细胞和细菌的DNA聚合酶都需要</w:t>
      </w:r>
      <w:r>
        <w:rPr>
          <w:rFonts w:hint="eastAsia" w:ascii="宋体" w:hAnsi="宋体" w:eastAsia="宋体" w:cs="宋体"/>
          <w:sz w:val="21"/>
          <w:szCs w:val="21"/>
          <w:lang w:val="en-US" w:eastAsia="zh-CN"/>
        </w:rPr>
        <w:t>___________</w:t>
      </w:r>
      <w:r>
        <w:rPr>
          <w:rFonts w:hint="eastAsia" w:ascii="宋体" w:hAnsi="宋体" w:eastAsia="宋体" w:cs="宋体"/>
          <w:sz w:val="21"/>
          <w:szCs w:val="21"/>
        </w:rPr>
        <w:t>激活。因此，PCR反应缓冲溶液中一般要添加</w:t>
      </w:r>
      <w:r>
        <w:rPr>
          <w:rFonts w:hint="eastAsia" w:ascii="宋体" w:hAnsi="宋体" w:eastAsia="宋体" w:cs="宋体"/>
          <w:sz w:val="21"/>
          <w:szCs w:val="21"/>
          <w:lang w:val="en-US" w:eastAsia="zh-CN"/>
        </w:rPr>
        <w:t>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PCR扩增过程中的循环图示与规律</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"E:\\吕芳\\2022\\一轮\\生物\\03\\A+123.TIF"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"D:\\芳\\芳\\吕芳\\10\\A+123.TIF"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"E:\\吕芳\\2022\\一轮\\生物\\10\\A+123.TIF"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生物技术与工程\\A+123.TIF"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008755" cy="2570480"/>
            <wp:effectExtent l="0" t="0" r="1079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r:link="rId9"/>
                    <a:stretch>
                      <a:fillRect/>
                    </a:stretch>
                  </pic:blipFill>
                  <pic:spPr>
                    <a:xfrm>
                      <a:off x="0" y="0"/>
                      <a:ext cx="4008755" cy="257048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381"/>
        <w:gridCol w:w="1750"/>
        <w:gridCol w:w="148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循环次数</w:t>
            </w:r>
          </w:p>
        </w:tc>
        <w:tc>
          <w:tcPr>
            <w:tcW w:w="138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5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48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22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i/>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DNA分子数</w:t>
            </w:r>
          </w:p>
        </w:tc>
        <w:tc>
          <w:tcPr>
            <w:tcW w:w="138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5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8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22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含引物A(或B)的DNA分子数</w:t>
            </w:r>
          </w:p>
        </w:tc>
        <w:tc>
          <w:tcPr>
            <w:tcW w:w="138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5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8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22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同时含引物A、B的DNA分子数</w:t>
            </w:r>
          </w:p>
        </w:tc>
        <w:tc>
          <w:tcPr>
            <w:tcW w:w="138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0＝2</w:t>
            </w:r>
            <w:r>
              <w:rPr>
                <w:rFonts w:hint="eastAsia" w:ascii="宋体" w:hAnsi="宋体" w:eastAsia="宋体" w:cs="宋体"/>
                <w:sz w:val="21"/>
                <w:szCs w:val="21"/>
                <w:vertAlign w:val="superscript"/>
              </w:rPr>
              <w:t>1</w:t>
            </w:r>
            <w:r>
              <w:rPr>
                <w:rFonts w:hint="eastAsia" w:ascii="宋体" w:hAnsi="宋体" w:eastAsia="宋体" w:cs="宋体"/>
                <w:sz w:val="21"/>
                <w:szCs w:val="21"/>
              </w:rPr>
              <w:t>－2</w:t>
            </w:r>
          </w:p>
        </w:tc>
        <w:tc>
          <w:tcPr>
            <w:tcW w:w="175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8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22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共消耗的引物数量</w:t>
            </w:r>
          </w:p>
        </w:tc>
        <w:tc>
          <w:tcPr>
            <w:tcW w:w="1381"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2＝2</w:t>
            </w:r>
            <w:r>
              <w:rPr>
                <w:rFonts w:hint="eastAsia" w:ascii="宋体" w:hAnsi="宋体" w:eastAsia="宋体" w:cs="宋体"/>
                <w:sz w:val="21"/>
                <w:szCs w:val="21"/>
                <w:vertAlign w:val="superscript"/>
              </w:rPr>
              <w:t>1＋1</w:t>
            </w:r>
            <w:r>
              <w:rPr>
                <w:rFonts w:hint="eastAsia" w:ascii="宋体" w:hAnsi="宋体" w:eastAsia="宋体" w:cs="宋体"/>
                <w:sz w:val="21"/>
                <w:szCs w:val="21"/>
              </w:rPr>
              <w:t>－2</w:t>
            </w:r>
          </w:p>
        </w:tc>
        <w:tc>
          <w:tcPr>
            <w:tcW w:w="175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8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22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r>
    </w:tbl>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【导练】</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研究员利用PCR技术扩增X基因。两种引物及其与模板链的结合位置如下图甲所示。经4轮循环后产物中有5种不同的DNA分子，如下图乙所示。下列叙述正确的是（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16375" cy="1538605"/>
            <wp:effectExtent l="0" t="0" r="3175" b="444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0"/>
                    <a:stretch>
                      <a:fillRect/>
                    </a:stretch>
                  </pic:blipFill>
                  <pic:spPr>
                    <a:xfrm>
                      <a:off x="0" y="0"/>
                      <a:ext cx="4016375" cy="15386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A．利用DNA连接酶才能完成PCR过程</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B．一次加入30轮所需的引物1和引物2会干扰PCR进行</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C．第⑤种DNA分子最早出现在第三轮复制后，只有一个⑤</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D．经四轮复制产生的第⑤种DNA分子共有8个</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下图为利用生物技术获得生物新品种的过程，有关说法错误的是（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8120" cy="1264285"/>
            <wp:effectExtent l="0" t="0" r="17780" b="1206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1"/>
                    <a:stretch>
                      <a:fillRect/>
                    </a:stretch>
                  </pic:blipFill>
                  <pic:spPr>
                    <a:xfrm>
                      <a:off x="0" y="0"/>
                      <a:ext cx="5278120" cy="1264861"/>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A．A→B过程中一般用4种脱氧核苷酸为原料，并加入两种引物</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B．A→B过程利用了DNA复制原理，需要使用耐高温的DNA聚合酶</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C．B→C为转基因绵羊的培育过程，常选用的受体细胞是卵母细胞</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D．B→D为转基因植物的培育过程，其中④过程常用的方法是农杆菌转化法</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r>
        <w:rPr>
          <w:rFonts w:hint="eastAsia" w:ascii="宋体" w:hAnsi="宋体" w:eastAsia="宋体" w:cs="宋体"/>
          <w:color w:val="000000"/>
          <w:szCs w:val="21"/>
        </w:rPr>
        <w:t>【课后反思】</w:t>
      </w:r>
    </w:p>
    <w:p>
      <w:pPr>
        <w:keepNext w:val="0"/>
        <w:keepLines w:val="0"/>
        <w:pageBreakBefore w:val="0"/>
        <w:widowControl w:val="0"/>
        <w:kinsoku/>
        <w:wordWrap/>
        <w:overflowPunct/>
        <w:topLinePunct w:val="0"/>
        <w:autoSpaceDE/>
        <w:autoSpaceDN/>
        <w:bidi w:val="0"/>
        <w:adjustRightInd/>
        <w:spacing w:line="288" w:lineRule="auto"/>
        <w:textAlignment w:val="auto"/>
        <w:rPr>
          <w:rFonts w:hint="default" w:ascii="宋体" w:hAnsi="宋体" w:eastAsia="宋体" w:cs="宋体"/>
          <w:color w:val="000000"/>
          <w:szCs w:val="21"/>
          <w:u w:val="single"/>
          <w:lang w:val="en-US" w:eastAsia="zh-CN"/>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黑体" w:hAnsi="黑体" w:eastAsia="黑体" w:cs="黑体"/>
          <w:b/>
          <w:sz w:val="28"/>
          <w:szCs w:val="28"/>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28"/>
          <w:szCs w:val="28"/>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28"/>
          <w:szCs w:val="28"/>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28"/>
          <w:szCs w:val="28"/>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28"/>
          <w:szCs w:val="28"/>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28"/>
          <w:szCs w:val="28"/>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28"/>
          <w:szCs w:val="28"/>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30"/>
          <w:szCs w:val="30"/>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30"/>
          <w:szCs w:val="30"/>
        </w:rPr>
      </w:pPr>
    </w:p>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30"/>
          <w:szCs w:val="30"/>
          <w:lang w:eastAsia="zh-CN"/>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w:t>
      </w:r>
      <w:r>
        <w:rPr>
          <w:rFonts w:hint="eastAsia" w:ascii="黑体" w:hAnsi="黑体" w:eastAsia="黑体" w:cs="黑体"/>
          <w:b/>
          <w:sz w:val="30"/>
          <w:szCs w:val="30"/>
          <w:lang w:eastAsia="zh-CN"/>
        </w:rPr>
        <w:t>作业</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s="仿宋" w:asciiTheme="minorEastAsia" w:hAnsiTheme="minorEastAsia" w:eastAsiaTheme="minorEastAsia"/>
          <w:b/>
          <w:bCs/>
          <w:szCs w:val="21"/>
          <w:lang w:eastAsia="zh-CN"/>
        </w:rPr>
      </w:pPr>
      <w:r>
        <w:rPr>
          <w:rFonts w:hint="eastAsia" w:ascii="黑体" w:hAnsi="黑体" w:eastAsia="黑体" w:cs="黑体"/>
          <w:b/>
          <w:bCs/>
          <w:sz w:val="28"/>
          <w:szCs w:val="28"/>
          <w:lang w:val="en-US" w:eastAsia="zh-CN"/>
        </w:rPr>
        <w:t xml:space="preserve"> </w:t>
      </w:r>
      <w:r>
        <w:rPr>
          <w:rFonts w:hint="eastAsia" w:ascii="楷体" w:hAnsi="楷体" w:eastAsia="楷体" w:cs="楷体"/>
          <w:b/>
          <w:bCs/>
          <w:sz w:val="28"/>
          <w:szCs w:val="28"/>
          <w:lang w:val="en-US" w:eastAsia="zh-CN"/>
        </w:rPr>
        <w:t>第35讲 基因工程及生物技术的安全性与伦理问题（2）</w:t>
      </w:r>
      <w:r>
        <w:rPr>
          <w:rFonts w:hint="eastAsia" w:ascii="黑体" w:hAnsi="黑体" w:eastAsia="黑体" w:cs="黑体"/>
          <w:b/>
          <w:bCs/>
          <w:sz w:val="28"/>
          <w:szCs w:val="28"/>
          <w:lang w:val="en-US" w:eastAsia="zh-CN"/>
        </w:rPr>
        <w:t xml:space="preserve">  </w:t>
      </w:r>
      <w:r>
        <w:rPr>
          <w:rFonts w:hint="eastAsia" w:ascii="黑体" w:hAnsi="黑体" w:eastAsia="黑体" w:cs="黑体"/>
          <w:sz w:val="28"/>
          <w:szCs w:val="28"/>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sz w:val="21"/>
          <w:szCs w:val="21"/>
          <w:lang w:eastAsia="zh-CN"/>
        </w:rPr>
      </w:pPr>
      <w:r>
        <w:rPr>
          <w:rFonts w:hint="eastAsia" w:ascii="楷体" w:hAnsi="楷体" w:eastAsia="楷体" w:cs="楷体"/>
          <w:bCs/>
          <w:sz w:val="21"/>
          <w:szCs w:val="21"/>
        </w:rPr>
        <w:t>研制人：</w:t>
      </w:r>
      <w:r>
        <w:rPr>
          <w:rFonts w:hint="eastAsia" w:ascii="楷体" w:hAnsi="楷体" w:eastAsia="楷体" w:cs="楷体"/>
          <w:bCs/>
          <w:sz w:val="21"/>
          <w:szCs w:val="21"/>
          <w:lang w:val="en-US" w:eastAsia="zh-CN"/>
        </w:rPr>
        <w:t>康建莉</w:t>
      </w:r>
      <w:r>
        <w:rPr>
          <w:rFonts w:hint="eastAsia" w:ascii="楷体" w:hAnsi="楷体" w:eastAsia="楷体" w:cs="楷体"/>
          <w:bCs/>
          <w:sz w:val="21"/>
          <w:szCs w:val="21"/>
        </w:rPr>
        <w:t xml:space="preserve">   审核人：</w:t>
      </w:r>
      <w:r>
        <w:rPr>
          <w:rFonts w:hint="eastAsia" w:ascii="楷体" w:hAnsi="楷体" w:eastAsia="楷体" w:cs="楷体"/>
          <w:bCs/>
          <w:sz w:val="21"/>
          <w:szCs w:val="21"/>
          <w:lang w:val="en-US" w:eastAsia="zh-CN"/>
        </w:rPr>
        <w:t>苏楠楠</w:t>
      </w:r>
    </w:p>
    <w:p>
      <w:pPr>
        <w:keepNext w:val="0"/>
        <w:keepLines w:val="0"/>
        <w:pageBreakBefore w:val="0"/>
        <w:kinsoku/>
        <w:wordWrap/>
        <w:overflowPunct/>
        <w:topLinePunct w:val="0"/>
        <w:autoSpaceDE/>
        <w:autoSpaceDN/>
        <w:bidi w:val="0"/>
        <w:adjustRightInd/>
        <w:spacing w:line="312" w:lineRule="auto"/>
        <w:jc w:val="center"/>
        <w:rPr>
          <w:rFonts w:hint="eastAsia" w:ascii="楷体" w:hAnsi="楷体" w:eastAsia="楷体" w:cs="楷体"/>
          <w:bCs/>
          <w:sz w:val="24"/>
          <w:szCs w:val="24"/>
        </w:rPr>
      </w:pPr>
      <w:r>
        <w:rPr>
          <w:rFonts w:hint="eastAsia" w:ascii="楷体" w:hAnsi="楷体" w:eastAsia="楷体" w:cs="楷体"/>
          <w:bCs/>
          <w:sz w:val="21"/>
          <w:szCs w:val="21"/>
        </w:rPr>
        <w:t>班级：</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姓名：</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学号：</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时间：</w:t>
      </w:r>
      <w:r>
        <w:rPr>
          <w:rFonts w:hint="eastAsia" w:ascii="楷体" w:hAnsi="楷体" w:eastAsia="楷体" w:cs="楷体"/>
          <w:bCs/>
          <w:sz w:val="21"/>
          <w:szCs w:val="21"/>
          <w:u w:val="single"/>
          <w:lang w:val="en-US" w:eastAsia="zh-CN"/>
        </w:rPr>
        <w:t xml:space="preserve"> 04月24日   </w:t>
      </w:r>
      <w:r>
        <w:rPr>
          <w:rFonts w:hint="eastAsia" w:ascii="楷体" w:hAnsi="楷体" w:eastAsia="楷体" w:cs="楷体"/>
          <w:bCs/>
          <w:sz w:val="21"/>
          <w:szCs w:val="21"/>
        </w:rPr>
        <w:t>作业时长：</w:t>
      </w:r>
      <w:r>
        <w:rPr>
          <w:rFonts w:hint="eastAsia" w:ascii="楷体" w:hAnsi="楷体" w:eastAsia="楷体" w:cs="楷体"/>
          <w:bCs/>
          <w:sz w:val="21"/>
          <w:szCs w:val="21"/>
          <w:u w:val="single"/>
          <w:lang w:val="en-US" w:eastAsia="zh-CN"/>
        </w:rPr>
        <w:t xml:space="preserve"> 30分钟 </w:t>
      </w:r>
    </w:p>
    <w:p>
      <w:pPr>
        <w:keepNext w:val="0"/>
        <w:keepLines w:val="0"/>
        <w:pageBreakBefore w:val="0"/>
        <w:widowControl w:val="0"/>
        <w:numPr>
          <w:ilvl w:val="0"/>
          <w:numId w:val="1"/>
        </w:numPr>
        <w:kinsoku/>
        <w:wordWrap/>
        <w:overflowPunct/>
        <w:topLinePunct w:val="0"/>
        <w:autoSpaceDE/>
        <w:autoSpaceDN/>
        <w:bidi w:val="0"/>
        <w:adjustRightInd/>
        <w:spacing w:line="240" w:lineRule="auto"/>
        <w:jc w:val="left"/>
        <w:textAlignment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单选题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4234815</wp:posOffset>
            </wp:positionH>
            <wp:positionV relativeFrom="paragraph">
              <wp:posOffset>369570</wp:posOffset>
            </wp:positionV>
            <wp:extent cx="2160905" cy="1997710"/>
            <wp:effectExtent l="0" t="0" r="10795" b="254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r:link="rId13"/>
                    <a:stretch>
                      <a:fillRect/>
                    </a:stretch>
                  </pic:blipFill>
                  <pic:spPr>
                    <a:xfrm>
                      <a:off x="0" y="0"/>
                      <a:ext cx="2160905" cy="1997710"/>
                    </a:xfrm>
                    <a:prstGeom prst="rect">
                      <a:avLst/>
                    </a:prstGeom>
                    <a:noFill/>
                    <a:ln>
                      <a:noFill/>
                    </a:ln>
                  </pic:spPr>
                </pic:pic>
              </a:graphicData>
            </a:graphic>
          </wp:anchor>
        </w:drawing>
      </w:r>
      <w:r>
        <w:rPr>
          <w:rFonts w:hint="eastAsia" w:ascii="宋体" w:hAnsi="宋体" w:eastAsia="宋体" w:cs="宋体"/>
          <w:sz w:val="21"/>
          <w:szCs w:val="21"/>
          <w:lang w:val="en-US" w:eastAsia="zh-CN"/>
        </w:rPr>
        <w:t>1.</w:t>
      </w:r>
      <w:r>
        <w:rPr>
          <w:rFonts w:hint="eastAsia" w:ascii="宋体" w:hAnsi="宋体" w:eastAsia="宋体" w:cs="宋体"/>
          <w:sz w:val="21"/>
          <w:szCs w:val="21"/>
        </w:rPr>
        <w:t>利用重叠延伸PCR技术进行定点突变可以实现对纤维素酶基因进行合理性改造，其过程如下图所示。下列分析</w:t>
      </w:r>
      <w:r>
        <w:rPr>
          <w:rFonts w:hint="eastAsia" w:ascii="宋体" w:hAnsi="宋体" w:eastAsia="宋体" w:cs="宋体"/>
          <w:sz w:val="21"/>
          <w:szCs w:val="21"/>
          <w:lang w:val="en-US" w:eastAsia="zh-CN"/>
        </w:rPr>
        <w:t>不</w:t>
      </w:r>
      <w:r>
        <w:rPr>
          <w:rFonts w:hint="eastAsia" w:ascii="宋体" w:hAnsi="宋体" w:eastAsia="宋体" w:cs="宋体"/>
          <w:sz w:val="21"/>
          <w:szCs w:val="21"/>
        </w:rPr>
        <w:t>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A．PCR1过程中的产物AB是依赖引物a和引物b扩增的结果</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B．引物c和引物b上均含有与模板链不能互补的碱基</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C．①过程需要先加热至约94 ℃后再冷却至约55 ℃左右</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D．②过程需要利用引物a和引物d获得突变产物AD</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利用PCR可以在体外进行DNA片段的扩增，下列有关“DNA片段的扩增及电泳鉴定”实验的相关叙述，错误的是(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A．PCR实验中使用的微量离心管、枪头和蒸馏水等在使用前必须进行高压蒸汽灭菌处理</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B．PCR利用了DNA的热变性原理</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C．PCR所用的缓冲液和酶从冰箱拿出之后，迅速融化</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D．在向微量离心管中添加反应组分时，每吸取一种试剂后，移液器上的枪头都必须更换</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利用PCR技术扩增目的基因，其原理与细胞内DNA复制类似（如下图所示）。图中引物为单链DNA片段，它是子链合成延伸的基础。下列叙述错误的是（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027045" cy="1493520"/>
            <wp:effectExtent l="0" t="0" r="190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027045" cy="1493520"/>
                    </a:xfrm>
                    <a:prstGeom prst="rect">
                      <a:avLst/>
                    </a:prstGeom>
                  </pic:spPr>
                </pic:pic>
              </a:graphicData>
            </a:graphic>
          </wp:inline>
        </w:drawing>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A．用PCR方法扩增目的基因时不必知道基因的全部序列</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B．设计引物时需要避免引物之间形成碱基互补配对而造成引物自连</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C．复性温度过高可能导致PCR反应得不到任何扩增产物</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D．第四轮循环产物中同时含有引物A和引物B的DNA片段所占的比例为15/16</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用氨苄青霉素抗性基因(</w:t>
      </w:r>
      <w:r>
        <w:rPr>
          <w:rFonts w:hint="eastAsia" w:ascii="宋体" w:hAnsi="宋体" w:eastAsia="宋体" w:cs="宋体"/>
          <w:i/>
          <w:sz w:val="21"/>
          <w:szCs w:val="21"/>
        </w:rPr>
        <w:t>Amp</w:t>
      </w:r>
      <w:r>
        <w:rPr>
          <w:rFonts w:hint="eastAsia" w:ascii="宋体" w:hAnsi="宋体" w:eastAsia="宋体" w:cs="宋体"/>
          <w:sz w:val="21"/>
          <w:szCs w:val="21"/>
          <w:vertAlign w:val="superscript"/>
        </w:rPr>
        <w:t>R</w:t>
      </w:r>
      <w:r>
        <w:rPr>
          <w:rFonts w:hint="eastAsia" w:ascii="宋体" w:hAnsi="宋体" w:eastAsia="宋体" w:cs="宋体"/>
          <w:sz w:val="21"/>
          <w:szCs w:val="21"/>
        </w:rPr>
        <w:t>)、四环素抗性基因(</w:t>
      </w:r>
      <w:r>
        <w:rPr>
          <w:rFonts w:hint="eastAsia" w:ascii="宋体" w:hAnsi="宋体" w:eastAsia="宋体" w:cs="宋体"/>
          <w:i/>
          <w:sz w:val="21"/>
          <w:szCs w:val="21"/>
        </w:rPr>
        <w:t>Tet</w:t>
      </w:r>
      <w:r>
        <w:rPr>
          <w:rFonts w:hint="eastAsia" w:ascii="宋体" w:hAnsi="宋体" w:eastAsia="宋体" w:cs="宋体"/>
          <w:sz w:val="21"/>
          <w:szCs w:val="21"/>
          <w:vertAlign w:val="superscript"/>
        </w:rPr>
        <w:t>R</w:t>
      </w:r>
      <w:r>
        <w:rPr>
          <w:rFonts w:hint="eastAsia" w:ascii="宋体" w:hAnsi="宋体" w:eastAsia="宋体" w:cs="宋体"/>
          <w:sz w:val="21"/>
          <w:szCs w:val="21"/>
        </w:rPr>
        <w:t>)作为标记基因构建的质粒如图所示。用含有目的基因的DNA片段和用不同限制酶酶切后的质粒，构建基因表达载体(重组质粒)，并转化到受体菌中。下列叙述错误的是(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"F:\\源文件\\2024\\大一轮\\一轮 生物 苏教版\\9-285.TIF"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学生\\新建文件夹\\9-285.TIF"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学生\\新建文件夹\\9-285.TIF"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学生\\新建文件夹\\9-285.TIF"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715135" cy="970915"/>
            <wp:effectExtent l="0" t="0" r="18415" b="6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r:link="rId16"/>
                    <a:stretch>
                      <a:fillRect/>
                    </a:stretch>
                  </pic:blipFill>
                  <pic:spPr>
                    <a:xfrm>
                      <a:off x="0" y="0"/>
                      <a:ext cx="1715135" cy="97091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A．若用</w:t>
      </w:r>
      <w:r>
        <w:rPr>
          <w:rFonts w:hint="eastAsia" w:ascii="宋体" w:hAnsi="宋体" w:eastAsia="宋体" w:cs="宋体"/>
          <w:i/>
          <w:sz w:val="21"/>
          <w:szCs w:val="21"/>
        </w:rPr>
        <w:t>Hin</w:t>
      </w:r>
      <w:r>
        <w:rPr>
          <w:rFonts w:hint="eastAsia" w:ascii="宋体" w:hAnsi="宋体" w:eastAsia="宋体" w:cs="宋体"/>
          <w:sz w:val="21"/>
          <w:szCs w:val="21"/>
        </w:rPr>
        <w:t>d Ⅲ酶切，目的基因转录的产物可能不同</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B．若用</w:t>
      </w:r>
      <w:r>
        <w:rPr>
          <w:rFonts w:hint="eastAsia" w:ascii="宋体" w:hAnsi="宋体" w:eastAsia="宋体" w:cs="宋体"/>
          <w:i/>
          <w:sz w:val="21"/>
          <w:szCs w:val="21"/>
        </w:rPr>
        <w:t>Pvu</w:t>
      </w:r>
      <w:r>
        <w:rPr>
          <w:rFonts w:hint="eastAsia" w:ascii="宋体" w:hAnsi="宋体" w:eastAsia="宋体" w:cs="宋体"/>
          <w:sz w:val="21"/>
          <w:szCs w:val="21"/>
        </w:rPr>
        <w:t xml:space="preserve"> Ⅰ酶切，在含Tet(四环素)培养基中的菌落，不一定含有目的基因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C．若用</w:t>
      </w:r>
      <w:r>
        <w:rPr>
          <w:rFonts w:hint="eastAsia" w:ascii="宋体" w:hAnsi="宋体" w:eastAsia="宋体" w:cs="宋体"/>
          <w:i/>
          <w:sz w:val="21"/>
          <w:szCs w:val="21"/>
        </w:rPr>
        <w:t>Sph</w:t>
      </w:r>
      <w:r>
        <w:rPr>
          <w:rFonts w:hint="eastAsia" w:ascii="宋体" w:hAnsi="宋体" w:eastAsia="宋体" w:cs="宋体"/>
          <w:sz w:val="21"/>
          <w:szCs w:val="21"/>
        </w:rPr>
        <w:t xml:space="preserve"> Ⅰ酶切，可通过DNA凝胶电泳技术鉴定重组质粒构建成功与否</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D．若用</w:t>
      </w:r>
      <w:r>
        <w:rPr>
          <w:rFonts w:hint="eastAsia" w:ascii="宋体" w:hAnsi="宋体" w:eastAsia="宋体" w:cs="宋体"/>
          <w:i/>
          <w:sz w:val="21"/>
          <w:szCs w:val="21"/>
        </w:rPr>
        <w:t>Sph</w:t>
      </w:r>
      <w:r>
        <w:rPr>
          <w:rFonts w:hint="eastAsia" w:ascii="宋体" w:hAnsi="宋体" w:eastAsia="宋体" w:cs="宋体"/>
          <w:sz w:val="21"/>
          <w:szCs w:val="21"/>
        </w:rPr>
        <w:t>Ⅰ酶切，携带目的基因的受体菌在含Amp(氨苄青霉素)和Tet的培养基中能形成菌落</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土壤农杆菌侵染植物细胞时，Ti质粒上的T－DNA片段转入植物的基因组。利用农杆菌以Ti质粒作为载体进行转基因，下列相关叙述不正确的是(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A．目的基因应插入T－DNA片段外，以防止破坏T－DNA</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B．用Ca</w:t>
      </w:r>
      <w:r>
        <w:rPr>
          <w:rFonts w:hint="eastAsia" w:ascii="宋体" w:hAnsi="宋体" w:eastAsia="宋体" w:cs="宋体"/>
          <w:sz w:val="21"/>
          <w:szCs w:val="21"/>
          <w:vertAlign w:val="superscript"/>
        </w:rPr>
        <w:t>2＋</w:t>
      </w:r>
      <w:r>
        <w:rPr>
          <w:rFonts w:hint="eastAsia" w:ascii="宋体" w:hAnsi="宋体" w:eastAsia="宋体" w:cs="宋体"/>
          <w:sz w:val="21"/>
          <w:szCs w:val="21"/>
        </w:rPr>
        <w:t>处理农杆菌，以利于其侵染植物细胞</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C．Ti质粒是一种环状DNA分子，没有双螺旋结构</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bCs/>
          <w:sz w:val="21"/>
          <w:szCs w:val="21"/>
          <w:lang w:eastAsia="zh-CN"/>
        </w:rPr>
      </w:pPr>
      <w:r>
        <w:rPr>
          <w:rFonts w:hint="eastAsia" w:ascii="宋体" w:hAnsi="宋体" w:eastAsia="宋体" w:cs="宋体"/>
          <w:sz w:val="21"/>
          <w:szCs w:val="21"/>
        </w:rPr>
        <w:t>D．可以用DNA分子杂交技术检测外源DNA是否整合到植物的染色体DNA上</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6.人们试图利用基因工程的方法，用乙种生物生产甲种生物的一种蛋白质。生产流程是：甲生物的蛋白质→mRNA</w:t>
      </w:r>
      <w:r>
        <w:rPr>
          <w:rFonts w:hint="eastAsia" w:ascii="宋体" w:hAnsi="宋体" w:eastAsia="宋体" w:cs="宋体"/>
          <w:sz w:val="21"/>
          <w:szCs w:val="21"/>
          <w:lang w:val="en-US" w:eastAsia="zh-CN"/>
        </w:rPr>
        <w:object>
          <v:shape id="_x0000_i1025" o:spt="75" alt="eqId41840d9c51f9ed1962dc4bc8f23234a7" type="#_x0000_t75" style="height:19.1pt;width:13.2pt;" o:ole="t" filled="f" o:preferrelative="t" stroked="f" coordsize="21600,21600">
            <v:path/>
            <v:fill on="f" focussize="0,0"/>
            <v:stroke on="f" joinstyle="miter"/>
            <v:imagedata r:id="rId18" o:title="eqId41840d9c51f9ed1962dc4bc8f23234a7"/>
            <o:lock v:ext="edit" aspectratio="t"/>
            <w10:wrap type="none"/>
            <w10:anchorlock/>
          </v:shape>
          <o:OLEObject Type="Embed" ProgID="Equation.DSMT4" ShapeID="_x0000_i1025" DrawAspect="Content" ObjectID="_1468075725" r:id="rId17">
            <o:LockedField>false</o:LockedField>
          </o:OLEObject>
        </w:object>
      </w:r>
      <w:r>
        <w:rPr>
          <w:rFonts w:hint="eastAsia" w:ascii="宋体" w:hAnsi="宋体" w:eastAsia="宋体" w:cs="宋体"/>
          <w:sz w:val="21"/>
          <w:szCs w:val="21"/>
          <w:lang w:val="en-US" w:eastAsia="zh-CN"/>
        </w:rPr>
        <w:t>目的基因</w:t>
      </w:r>
      <w:r>
        <w:rPr>
          <w:rFonts w:hint="eastAsia" w:ascii="宋体" w:hAnsi="宋体" w:eastAsia="宋体" w:cs="宋体"/>
          <w:sz w:val="21"/>
          <w:szCs w:val="21"/>
          <w:lang w:val="en-US" w:eastAsia="zh-CN"/>
        </w:rPr>
        <w:object>
          <v:shape id="_x0000_i1026" o:spt="75" alt="eqIdeb4832c18cfb537eea9813d47bcc830d" type="#_x0000_t75" style="height:14.8pt;width:30.75pt;" o:ole="t" filled="f" o:preferrelative="t" stroked="f" coordsize="21600,21600">
            <v:path/>
            <v:fill on="f" focussize="0,0"/>
            <v:stroke on="f" joinstyle="miter"/>
            <v:imagedata r:id="rId20" o:title="eqIdeb4832c18cfb537eea9813d47bcc830d"/>
            <o:lock v:ext="edit" aspectratio="t"/>
            <w10:wrap type="none"/>
            <w10:anchorlock/>
          </v:shape>
          <o:OLEObject Type="Embed" ProgID="Equation.DSMT4" ShapeID="_x0000_i1026" DrawAspect="Content" ObjectID="_1468075726" r:id="rId19">
            <o:LockedField>false</o:LockedField>
          </o:OLEObject>
        </w:object>
      </w:r>
      <w:r>
        <w:rPr>
          <w:rFonts w:hint="eastAsia" w:ascii="宋体" w:hAnsi="宋体" w:eastAsia="宋体" w:cs="宋体"/>
          <w:sz w:val="21"/>
          <w:szCs w:val="21"/>
          <w:lang w:val="en-US" w:eastAsia="zh-CN"/>
        </w:rPr>
        <w:t>与质粒DNA重组</w:t>
      </w:r>
      <w:r>
        <w:rPr>
          <w:rFonts w:hint="eastAsia" w:ascii="宋体" w:hAnsi="宋体" w:eastAsia="宋体" w:cs="宋体"/>
          <w:sz w:val="21"/>
          <w:szCs w:val="21"/>
          <w:lang w:val="en-US" w:eastAsia="zh-CN"/>
        </w:rPr>
        <w:object>
          <v:shape id="_x0000_i1027" o:spt="75" alt="eqIdcc536456bdc1c6e1c99bca8be0a3f631" type="#_x0000_t75" style="height:14.8pt;width:30.75pt;" o:ole="t" filled="f" o:preferrelative="t" stroked="f" coordsize="21600,21600">
            <v:path/>
            <v:fill on="f" focussize="0,0"/>
            <v:stroke on="f" joinstyle="miter"/>
            <v:imagedata r:id="rId22" o:title="eqIdcc536456bdc1c6e1c99bca8be0a3f631"/>
            <o:lock v:ext="edit" aspectratio="t"/>
            <w10:wrap type="none"/>
            <w10:anchorlock/>
          </v:shape>
          <o:OLEObject Type="Embed" ProgID="Equation.DSMT4" ShapeID="_x0000_i1027" DrawAspect="Content" ObjectID="_1468075727" r:id="rId21">
            <o:LockedField>false</o:LockedField>
          </o:OLEObject>
        </w:object>
      </w:r>
      <w:r>
        <w:rPr>
          <w:rFonts w:hint="eastAsia" w:ascii="宋体" w:hAnsi="宋体" w:eastAsia="宋体" w:cs="宋体"/>
          <w:sz w:val="21"/>
          <w:szCs w:val="21"/>
          <w:lang w:val="en-US" w:eastAsia="zh-CN"/>
        </w:rPr>
        <w:t>导入乙细胞</w:t>
      </w:r>
      <w:r>
        <w:rPr>
          <w:rFonts w:hint="eastAsia" w:ascii="宋体" w:hAnsi="宋体" w:eastAsia="宋体" w:cs="宋体"/>
          <w:sz w:val="21"/>
          <w:szCs w:val="21"/>
          <w:lang w:val="en-US" w:eastAsia="zh-CN"/>
        </w:rPr>
        <w:object>
          <v:shape id="_x0000_i1028" o:spt="75" alt="eqId55ca35b7ce00682ff93f4b3249f3ac72" type="#_x0000_t75" style="height:14.8pt;width:30.75pt;" o:ole="t" filled="f" o:preferrelative="t" stroked="f" coordsize="21600,21600">
            <v:path/>
            <v:fill on="f" focussize="0,0"/>
            <v:stroke on="f" joinstyle="miter"/>
            <v:imagedata r:id="rId24" o:title="eqId55ca35b7ce00682ff93f4b3249f3ac72"/>
            <o:lock v:ext="edit" aspectratio="t"/>
            <w10:wrap type="none"/>
            <w10:anchorlock/>
          </v:shape>
          <o:OLEObject Type="Embed" ProgID="Equation.DSMT4" ShapeID="_x0000_i1028" DrawAspect="Content" ObjectID="_1468075728" r:id="rId23">
            <o:LockedField>false</o:LockedField>
          </o:OLEObject>
        </w:object>
      </w:r>
      <w:r>
        <w:rPr>
          <w:rFonts w:hint="eastAsia" w:ascii="宋体" w:hAnsi="宋体" w:eastAsia="宋体" w:cs="宋体"/>
          <w:sz w:val="21"/>
          <w:szCs w:val="21"/>
          <w:lang w:val="en-US" w:eastAsia="zh-CN"/>
        </w:rPr>
        <w:t>获得甲生物的蛋白质。下列有关说法正确的是（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A．①过程需要的酶是逆转录酶，原料是A、U、G、C</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B．②要用限制酶切断质粒DNA，再用DNA连接酶将目的基因与质粒连接在一起</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C．只要目的基因导入乙细胞，就能够获得甲生物的蛋白质</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D．④过程的原料不含有A、U、G、C</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7.以下关于活动“PCR扩增DNA片段及凝胶电泳鉴定”的叙述，错误的是（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A．4种脱氧核苷三磷酸为PCR扩增提供原料和能量</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B．上（载）样缓冲液中的电泳指示剂可使核酸显色</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C．带有负电荷的核酸需要加在电泳槽的负极</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D．不同大小的核酸迁移速率不同，从而实现其分离</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8.下图是转基因猕猴培育过程示意图下列相关叙述正确的是（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676650" cy="1600200"/>
            <wp:effectExtent l="0" t="0" r="635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5"/>
                    <a:stretch>
                      <a:fillRect/>
                    </a:stretch>
                  </pic:blipFill>
                  <pic:spPr>
                    <a:xfrm>
                      <a:off x="0" y="0"/>
                      <a:ext cx="3676650" cy="1600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A．采用逆转录法体外大量扩增绿色荧光蛋白基因</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B．为获得多个转基因猕猴，应在⑦之后进行胚胎分割</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C．过程⑥提供CO</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lang w:val="en-US" w:eastAsia="zh-CN"/>
        </w:rPr>
        <w:t>气体的目的是为受精卵提供碳源</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D．过程⑦是将桑椹胚或囊胚移入代孕雌猴的过程</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9.下列有关人胰岛素基因表达载体的叙述，正确的是（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A．表达载体中的胰岛素基因可通过人肝细胞mRNA反转录获得</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B．借助抗生素抗性基因可将含胰岛素基因的受体细胞筛选出来</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C．表达载体的复制和胰岛索基因的表达均启动于复制原（起）点</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D．启动子和终止密码子均在胰岛素基因的转录中起作用</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双脱氧核苷三磷酸(ddNTP)与脱氧核苷三磷酸(dNTP)的结构如下图所示。已知 ddNTP 按碱基互补配对的方式加到正在复制的子链中后，子链的延伸立即终止。某同学要通过 PCR 技术获得被</w:t>
      </w:r>
      <w:r>
        <w:rPr>
          <w:rFonts w:hint="eastAsia" w:ascii="宋体" w:hAnsi="宋体" w:eastAsia="宋体" w:cs="宋体"/>
          <w:sz w:val="21"/>
          <w:szCs w:val="21"/>
          <w:vertAlign w:val="superscript"/>
        </w:rPr>
        <w:t xml:space="preserve"> 32</w:t>
      </w:r>
      <w:r>
        <w:rPr>
          <w:rFonts w:hint="eastAsia" w:ascii="宋体" w:hAnsi="宋体" w:eastAsia="宋体" w:cs="宋体"/>
          <w:sz w:val="21"/>
          <w:szCs w:val="21"/>
        </w:rPr>
        <w:t>P 标记且以碱基“C”为末端的、不同长度的子链 DNA 片段。在反应管中已经有单链模板、引物、DNA 聚合酶和相应的缓冲液等，还需要加入下列原料中的（</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257425" cy="933450"/>
            <wp:effectExtent l="0" t="0" r="317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2257425" cy="933450"/>
                    </a:xfrm>
                    <a:prstGeom prst="rect">
                      <a:avLst/>
                    </a:prstGeom>
                  </pic:spPr>
                </pic:pic>
              </a:graphicData>
            </a:graphic>
          </wp:inline>
        </w:drawing>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A．dGTP，dATP，dTTP，dCTP</w:t>
      </w:r>
      <w:r>
        <w:rPr>
          <w:rFonts w:hint="eastAsia" w:ascii="宋体" w:hAnsi="宋体" w:eastAsia="宋体" w:cs="宋体"/>
          <w:sz w:val="21"/>
          <w:szCs w:val="21"/>
        </w:rPr>
        <w:tab/>
      </w:r>
      <w:r>
        <w:rPr>
          <w:rFonts w:hint="eastAsia" w:ascii="宋体" w:hAnsi="宋体" w:eastAsia="宋体" w:cs="宋体"/>
          <w:sz w:val="21"/>
          <w:szCs w:val="21"/>
        </w:rPr>
        <w:t>B．dGTP，dATP，dTTP</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C．α位 </w:t>
      </w:r>
      <w:r>
        <w:rPr>
          <w:rFonts w:hint="eastAsia" w:ascii="宋体" w:hAnsi="宋体" w:eastAsia="宋体" w:cs="宋体"/>
          <w:sz w:val="21"/>
          <w:szCs w:val="21"/>
          <w:vertAlign w:val="superscript"/>
        </w:rPr>
        <w:t>32</w:t>
      </w:r>
      <w:r>
        <w:rPr>
          <w:rFonts w:hint="eastAsia" w:ascii="宋体" w:hAnsi="宋体" w:eastAsia="宋体" w:cs="宋体"/>
          <w:sz w:val="21"/>
          <w:szCs w:val="21"/>
        </w:rPr>
        <w:t>P 标记的 ddCTP</w:t>
      </w:r>
      <w:r>
        <w:rPr>
          <w:rFonts w:hint="eastAsia" w:ascii="宋体" w:hAnsi="宋体" w:eastAsia="宋体" w:cs="宋体"/>
          <w:sz w:val="21"/>
          <w:szCs w:val="21"/>
        </w:rPr>
        <w:tab/>
      </w:r>
      <w:r>
        <w:rPr>
          <w:rFonts w:hint="eastAsia" w:ascii="宋体" w:hAnsi="宋体" w:eastAsia="宋体" w:cs="宋体"/>
          <w:sz w:val="21"/>
          <w:szCs w:val="21"/>
        </w:rPr>
        <w:t xml:space="preserve">D．γ位 </w:t>
      </w:r>
      <w:r>
        <w:rPr>
          <w:rFonts w:hint="eastAsia" w:ascii="宋体" w:hAnsi="宋体" w:eastAsia="宋体" w:cs="宋体"/>
          <w:sz w:val="21"/>
          <w:szCs w:val="21"/>
          <w:vertAlign w:val="superscript"/>
        </w:rPr>
        <w:t>32</w:t>
      </w:r>
      <w:r>
        <w:rPr>
          <w:rFonts w:hint="eastAsia" w:ascii="宋体" w:hAnsi="宋体" w:eastAsia="宋体" w:cs="宋体"/>
          <w:sz w:val="21"/>
          <w:szCs w:val="21"/>
        </w:rPr>
        <w:t>P 标记的 ddCTP</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*11.RT-PCR是将RNA逆转录（RT）和cDNA的PCR相结合的技术，可利用此技术获取目的基因，具体过程如图所示。以下说法错误的是（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269490" cy="1303020"/>
            <wp:effectExtent l="0" t="0" r="381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2269490" cy="1303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A．设计扩增目的基因的引物时需已知一段目的基因序列</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B．GC含量高的引物在与模板链结合时，需要更高的温度</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C．过程Ⅰ需要加入缓冲液、原料、耐高温的DNA聚合酶和引物A等</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D．过程Ⅱ拟对单链cDNA进行n次循环的扩增，理论上需要2</w:t>
      </w:r>
      <w:r>
        <w:rPr>
          <w:rFonts w:hint="eastAsia" w:ascii="宋体" w:hAnsi="宋体" w:eastAsia="宋体" w:cs="宋体"/>
          <w:sz w:val="21"/>
          <w:szCs w:val="21"/>
          <w:vertAlign w:val="superscript"/>
          <w:lang w:val="en-US" w:eastAsia="zh-CN"/>
        </w:rPr>
        <w:t>n-1</w:t>
      </w:r>
      <w:r>
        <w:rPr>
          <w:rFonts w:hint="eastAsia" w:ascii="宋体" w:hAnsi="宋体" w:eastAsia="宋体" w:cs="宋体"/>
          <w:sz w:val="21"/>
          <w:szCs w:val="21"/>
          <w:lang w:val="en-US" w:eastAsia="zh-CN"/>
        </w:rPr>
        <w:t>个引物B</w:t>
      </w:r>
    </w:p>
    <w:p>
      <w:pPr>
        <w:pStyle w:val="6"/>
        <w:keepNext w:val="0"/>
        <w:keepLines w:val="0"/>
        <w:pageBreakBefore w:val="0"/>
        <w:widowControl w:val="0"/>
        <w:tabs>
          <w:tab w:val="left" w:pos="3544"/>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科研人员通过转基因技术培育出超量表达P蛋白的转基因甜玉米。在超量表达P基因载体的构建中，含P基因的DNA片段以及Ti质粒的酶切位点如图所示，其中强启动子能驱动基因的持续转录。请回答下列问题：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"F:\\源文件\\2024\\大一轮\\一轮 生物 苏教版\\9-305.TIF"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学生\\新建文件夹\\9-305.TIF"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学生\\新建文件夹\\9-305.TIF"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160905" cy="695325"/>
            <wp:effectExtent l="0" t="0" r="1079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8" r:link="rId29"/>
                    <a:stretch>
                      <a:fillRect/>
                    </a:stretch>
                  </pic:blipFill>
                  <pic:spPr>
                    <a:xfrm>
                      <a:off x="0" y="0"/>
                      <a:ext cx="2160905" cy="69532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"F:\\源文件\\2024\\大一轮\\一轮 生物 苏教版\\9-306.TIF"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学生\\新建文件夹\\9-306.TIF"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"E:\\苏德亭2024\\大一轮\\一轮\\大一轮 生物 苏教江苏 学生\\新建文件夹\\9-306.TIF"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160905" cy="1315085"/>
            <wp:effectExtent l="0" t="0" r="10795" b="1841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0" r:link="rId31"/>
                    <a:stretch>
                      <a:fillRect/>
                    </a:stretch>
                  </pic:blipFill>
                  <pic:spPr>
                    <a:xfrm>
                      <a:off x="0" y="0"/>
                      <a:ext cx="2160905" cy="131508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限制酶</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识别序列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i/>
                <w:sz w:val="21"/>
                <w:szCs w:val="21"/>
              </w:rPr>
              <w:t>Cla</w:t>
            </w:r>
            <w:r>
              <w:rPr>
                <w:rFonts w:hint="eastAsia" w:ascii="宋体" w:hAnsi="宋体" w:eastAsia="宋体" w:cs="宋体"/>
                <w:sz w:val="21"/>
                <w:szCs w:val="21"/>
              </w:rPr>
              <w:t xml:space="preserve"> Ⅰ</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5′AT</w:t>
            </w:r>
            <w:r>
              <w:rPr>
                <w:rFonts w:hint="eastAsia" w:ascii="宋体" w:hAnsi="宋体" w:eastAsia="宋体" w:cs="宋体"/>
                <w:sz w:val="21"/>
                <w:szCs w:val="21"/>
                <w:vertAlign w:val="superscript"/>
              </w:rPr>
              <w:t>↓</w:t>
            </w:r>
            <w:r>
              <w:rPr>
                <w:rFonts w:hint="eastAsia" w:ascii="宋体" w:hAnsi="宋体" w:eastAsia="宋体" w:cs="宋体"/>
                <w:sz w:val="21"/>
                <w:szCs w:val="21"/>
              </w:rPr>
              <w:t>CGAT3′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i/>
                <w:sz w:val="21"/>
                <w:szCs w:val="21"/>
              </w:rPr>
              <w:t>Bam</w:t>
            </w:r>
            <w:r>
              <w:rPr>
                <w:rFonts w:hint="eastAsia" w:ascii="宋体" w:hAnsi="宋体" w:eastAsia="宋体" w:cs="宋体"/>
                <w:sz w:val="21"/>
                <w:szCs w:val="21"/>
              </w:rPr>
              <w:t>H Ⅰ</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5′G</w:t>
            </w:r>
            <w:r>
              <w:rPr>
                <w:rFonts w:hint="eastAsia" w:ascii="宋体" w:hAnsi="宋体" w:eastAsia="宋体" w:cs="宋体"/>
                <w:sz w:val="21"/>
                <w:szCs w:val="21"/>
                <w:vertAlign w:val="superscript"/>
              </w:rPr>
              <w:t>↓</w:t>
            </w:r>
            <w:r>
              <w:rPr>
                <w:rFonts w:hint="eastAsia" w:ascii="宋体" w:hAnsi="宋体" w:eastAsia="宋体" w:cs="宋体"/>
                <w:sz w:val="21"/>
                <w:szCs w:val="21"/>
              </w:rPr>
              <w:t>GATCC3′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i/>
                <w:sz w:val="21"/>
                <w:szCs w:val="21"/>
              </w:rPr>
              <w:t>Hin</w:t>
            </w:r>
            <w:r>
              <w:rPr>
                <w:rFonts w:hint="eastAsia" w:ascii="宋体" w:hAnsi="宋体" w:eastAsia="宋体" w:cs="宋体"/>
                <w:sz w:val="21"/>
                <w:szCs w:val="21"/>
              </w:rPr>
              <w:t>d Ⅲ</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5′A</w:t>
            </w:r>
            <w:r>
              <w:rPr>
                <w:rFonts w:hint="eastAsia" w:ascii="宋体" w:hAnsi="宋体" w:eastAsia="宋体" w:cs="宋体"/>
                <w:sz w:val="21"/>
                <w:szCs w:val="21"/>
                <w:vertAlign w:val="superscript"/>
              </w:rPr>
              <w:t>↓</w:t>
            </w:r>
            <w:r>
              <w:rPr>
                <w:rFonts w:hint="eastAsia" w:ascii="宋体" w:hAnsi="宋体" w:eastAsia="宋体" w:cs="宋体"/>
                <w:sz w:val="21"/>
                <w:szCs w:val="21"/>
              </w:rPr>
              <w:t>AGCTT3′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i/>
                <w:sz w:val="21"/>
                <w:szCs w:val="21"/>
              </w:rPr>
              <w:t>Eco</w:t>
            </w:r>
            <w:r>
              <w:rPr>
                <w:rFonts w:hint="eastAsia" w:ascii="宋体" w:hAnsi="宋体" w:eastAsia="宋体" w:cs="宋体"/>
                <w:sz w:val="21"/>
                <w:szCs w:val="21"/>
              </w:rPr>
              <w:t>R Ⅰ</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5′G</w:t>
            </w:r>
            <w:r>
              <w:rPr>
                <w:rFonts w:hint="eastAsia" w:ascii="宋体" w:hAnsi="宋体" w:eastAsia="宋体" w:cs="宋体"/>
                <w:sz w:val="21"/>
                <w:szCs w:val="21"/>
                <w:vertAlign w:val="superscript"/>
              </w:rPr>
              <w:t>↓</w:t>
            </w:r>
            <w:r>
              <w:rPr>
                <w:rFonts w:hint="eastAsia" w:ascii="宋体" w:hAnsi="宋体" w:eastAsia="宋体" w:cs="宋体"/>
                <w:sz w:val="21"/>
                <w:szCs w:val="21"/>
              </w:rPr>
              <w:t>AATTC3′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i/>
                <w:sz w:val="21"/>
                <w:szCs w:val="21"/>
              </w:rPr>
              <w:t>Kpn</w:t>
            </w:r>
            <w:r>
              <w:rPr>
                <w:rFonts w:hint="eastAsia" w:ascii="宋体" w:hAnsi="宋体" w:eastAsia="宋体" w:cs="宋体"/>
                <w:sz w:val="21"/>
                <w:szCs w:val="21"/>
              </w:rPr>
              <w:t xml:space="preserve"> Ⅰ</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5′GGTAC</w:t>
            </w:r>
            <w:r>
              <w:rPr>
                <w:rFonts w:hint="eastAsia" w:ascii="宋体" w:hAnsi="宋体" w:eastAsia="宋体" w:cs="宋体"/>
                <w:sz w:val="21"/>
                <w:szCs w:val="21"/>
                <w:vertAlign w:val="superscript"/>
              </w:rPr>
              <w:t>↓</w:t>
            </w:r>
            <w:r>
              <w:rPr>
                <w:rFonts w:hint="eastAsia" w:ascii="宋体" w:hAnsi="宋体" w:eastAsia="宋体" w:cs="宋体"/>
                <w:sz w:val="21"/>
                <w:szCs w:val="21"/>
              </w:rPr>
              <w:t>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i/>
                <w:sz w:val="21"/>
                <w:szCs w:val="21"/>
              </w:rPr>
              <w:t>Sac</w:t>
            </w:r>
            <w:r>
              <w:rPr>
                <w:rFonts w:hint="eastAsia" w:ascii="宋体" w:hAnsi="宋体" w:eastAsia="宋体" w:cs="宋体"/>
                <w:sz w:val="21"/>
                <w:szCs w:val="21"/>
              </w:rPr>
              <w:t xml:space="preserve"> Ⅰ</w:t>
            </w:r>
          </w:p>
        </w:tc>
        <w:tc>
          <w:tcPr>
            <w:tcW w:w="20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5′GAGCT</w:t>
            </w:r>
            <w:r>
              <w:rPr>
                <w:rFonts w:hint="eastAsia" w:ascii="宋体" w:hAnsi="宋体" w:eastAsia="宋体" w:cs="宋体"/>
                <w:sz w:val="21"/>
                <w:szCs w:val="21"/>
                <w:vertAlign w:val="superscript"/>
              </w:rPr>
              <w:t>↓</w:t>
            </w:r>
            <w:r>
              <w:rPr>
                <w:rFonts w:hint="eastAsia" w:ascii="宋体" w:hAnsi="宋体" w:eastAsia="宋体" w:cs="宋体"/>
                <w:sz w:val="21"/>
                <w:szCs w:val="21"/>
              </w:rPr>
              <w:t>C3′</w:t>
            </w:r>
          </w:p>
        </w:tc>
      </w:tr>
    </w:tbl>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rPr>
        <w:t>(1)以RNA为模板，通过RT—PCR技术可获取P基因。进行RT—PCR时，一般要加入4种脱氧核糖核苷三磷酸(dNTP)而不是脱氧核苷酸，其原因是_________________________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rPr>
        <w:t>__________________________，同时需加入的酶有________________________。为了特异性扩增P基因序列，需根据______________________设计特异性引物。</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rPr>
        <w:t>(2)在构建基因表达载体时，应优先选用的限制酶是__________和__________，这样操作不仅使P基因在玉米植株中超量表达，还可利用T－DNA的______________特性，最终使P基因__________________________________。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rPr>
        <w:t>(3)将农杆菌液浸泡过的玉米愈伤组织进行植物组织培养时，培养基中需加入______________，筛选出的愈伤组织经再分化过程形成丛芽，最终获得转基因玉米植株。</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rPr>
        <w:t>(4)对转基因再生玉米植株进行鉴定时发现，有些植株虽有P基因，但几乎没有P蛋白，造成该现象的原因可能有_____________________________________________________________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sz w:val="21"/>
          <w:szCs w:val="21"/>
        </w:rPr>
      </w:pPr>
      <w:r>
        <w:rPr>
          <w:rFonts w:hint="eastAsia" w:ascii="宋体" w:hAnsi="宋体" w:eastAsia="宋体" w:cs="宋体"/>
          <w:sz w:val="21"/>
          <w:szCs w:val="21"/>
        </w:rPr>
        <w:t>________________________________________________________________________。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PCR技术不仅可以扩增目的基因，还可用于定点诱变目的基因等。大引物PCR就是一种定点突变技术。大引物PCR 需要用到引物进行两次 PCR，其操作步骤为∶</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①根据目的基因序列设计引物，得到两个常规引物，分别为常规上游引物和常规下游引物；②根据突变碱基所处序列位置设计突变上游引物，突变位点位于突变引物序列的中间位置③由突变上游引物与常规下游引物进行第一次PCR反应得到下游大引物；④用得到的下游大引物中和另一个常规上游引物进行第二次PCR扩增，得到突变目的基因序列。回答下列问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(1)PCR扩增的第一步是使双链模板 DNA变性。DNA 中G+C的含量与变性要求的温度有关，DNA中G+C的含量越多，要求的变性温度越高。其原因是_____。该PCR扩增技术所需的基本条件是____种引物、原料、模板、_____。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(2)在第一次PCR反应中，形成图示双链 DNA 至少要经过_____次复制。第一次 PCR的产物 DNA的_____条链作为第二次PCR所用的引物。与X射线诱变相比，该突变技术的优点是_____。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(3)如果要利用微生物进一步克隆 PCR定点诱变产物，其步骤包括∶_____、_____、微生物的筛选和培养、从菌群中获取更多目的基因。将获取目的基因和质粒进行连接后，需先用 _____处理农杆菌以便将基因表达载体导入马铃薯细胞，将马铃薯细胞培养成幼苗时经过的两个过程是_____。检测目的基因是否在马铃薯细胞中转录出了mRNA，所采用的方法是________。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sz w:val="28"/>
          <w:szCs w:val="28"/>
          <w:lang w:val="en-US" w:eastAsia="zh-CN"/>
        </w:rPr>
      </w:pPr>
      <w:r>
        <w:rPr>
          <w:rFonts w:hint="eastAsia" w:ascii="黑体" w:hAnsi="黑体" w:eastAsia="黑体" w:cs="黑体"/>
          <w:b/>
          <w:bCs/>
          <w:sz w:val="28"/>
          <w:szCs w:val="28"/>
          <w:lang w:val="en-US" w:eastAsia="zh-CN"/>
        </w:rPr>
        <w:t>【补充练习】                                        作业时长：</w:t>
      </w:r>
      <w:r>
        <w:rPr>
          <w:rFonts w:hint="eastAsia" w:ascii="黑体" w:hAnsi="黑体" w:eastAsia="黑体" w:cs="黑体"/>
          <w:b/>
          <w:bCs/>
          <w:sz w:val="28"/>
          <w:szCs w:val="28"/>
          <w:u w:val="single"/>
          <w:lang w:val="en-US" w:eastAsia="zh-CN"/>
        </w:rPr>
        <w:t>20分钟</w:t>
      </w:r>
    </w:p>
    <w:p>
      <w:pPr>
        <w:keepNext w:val="0"/>
        <w:keepLines w:val="0"/>
        <w:pageBreakBefore w:val="0"/>
        <w:widowControl w:val="0"/>
        <w:numPr>
          <w:ilvl w:val="0"/>
          <w:numId w:val="2"/>
        </w:numPr>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单选题</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1.PCR技术在生物工程中应用广泛，PCR的产物一般通过琼脂糖凝胶电泳来鉴定，下列有关叙述错误的是（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A．PCR及电泳过程中用到了多种缓冲液，PCR反应的缓冲液中一般要添加Mg2+用于激活DNA聚合酶，凝胶载样缓冲液中的DNA可用紫外灯进行检测</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B．用于构建基因表达载体的质粒用限制酶切割前，后长度可能不发生变化，此时无法通过电泳检测质粒是否被切开</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C．PCR反应体系中需加入耐高温的DNA聚合酶，该酶主要在复性过程起作用</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D．采用PCR技术对一个DNA进行扩增，第n次循环共需要引物2n个</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2.反向PCR流程如图所示，该技术可利用一段已知DNA序列设计合理的引物，扩增已知序列两端的未知序列。图中已知序列一条链的碱基排列顺序为“5’-AACTATGCGCTCATGA-……-GCAATGCGTAGCCTCT-3'”。下列叙述错误的是（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346450" cy="3181985"/>
            <wp:effectExtent l="0" t="0" r="635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3346450" cy="3181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A．I酶切：用一种限制酶切割DNA，以使两端未知序列形成相同的黏性末端</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B．II连接：使用DNA连接酶催化相邻核苷酸之间形成磷酸二酯键</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C．设计的两种引物分别是“5'-AACTATGCGCTCATGA–3’”和“5'-AGAGGCTACGCATTGC-3’”</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D．对PCR产物测序，经分析得到了片段F的完整序列。该DNA单链序列可能为“5'-AATTCCAGT-……-CTGAATT-3'”</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3.PCR引物的3'端为结合模板DNA的关键碱基，5'端无严格限制，可用于添加限制酶切点等序列。下列叙述正确的是（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975610" cy="607695"/>
            <wp:effectExtent l="0" t="0" r="152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2975610" cy="6076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A．该图表示PCR循环中的变性环节</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B．PCR第四次循环要消耗15对引物</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C．Taq酶催化相邻的两个游离dNTP之间形成磷酸二酯键</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D．用图中引物扩增两个循环后即可获得添加限制酶切点的产物</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下列与DNA相关实验的有关的叙述，错误的是（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130"/>
        <w:gridCol w:w="5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实验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方法/原理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证明DNA半保留复制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通过检测</w:t>
            </w:r>
            <w:r>
              <w:rPr>
                <w:rFonts w:hint="eastAsia" w:ascii="宋体" w:hAnsi="宋体" w:eastAsia="宋体" w:cs="宋体"/>
                <w:sz w:val="21"/>
                <w:szCs w:val="21"/>
                <w:vertAlign w:val="superscript"/>
              </w:rPr>
              <w:t>14</w:t>
            </w:r>
            <w:r>
              <w:rPr>
                <w:rFonts w:hint="eastAsia" w:ascii="宋体" w:hAnsi="宋体" w:eastAsia="宋体" w:cs="宋体"/>
                <w:sz w:val="21"/>
                <w:szCs w:val="21"/>
              </w:rPr>
              <w:t>N和</w:t>
            </w:r>
            <w:r>
              <w:rPr>
                <w:rFonts w:hint="eastAsia" w:ascii="宋体" w:hAnsi="宋体" w:eastAsia="宋体" w:cs="宋体"/>
                <w:sz w:val="21"/>
                <w:szCs w:val="21"/>
                <w:vertAlign w:val="superscript"/>
              </w:rPr>
              <w:t>15</w:t>
            </w:r>
            <w:r>
              <w:rPr>
                <w:rFonts w:hint="eastAsia" w:ascii="宋体" w:hAnsi="宋体" w:eastAsia="宋体" w:cs="宋体"/>
                <w:sz w:val="21"/>
                <w:szCs w:val="21"/>
              </w:rPr>
              <w:t>N的放射性强度区分不同的DNA分子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DNA的粗提取与鉴定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利用体积分数为95%的酒精去除部分蛋白质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DNA片段的PCR扩增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PCR反应缓冲溶液中的Mg</w:t>
            </w:r>
            <w:r>
              <w:rPr>
                <w:rFonts w:hint="eastAsia" w:ascii="宋体" w:hAnsi="宋体" w:eastAsia="宋体" w:cs="宋体"/>
                <w:sz w:val="21"/>
                <w:szCs w:val="21"/>
                <w:vertAlign w:val="superscript"/>
              </w:rPr>
              <w:t>2+</w:t>
            </w:r>
            <w:r>
              <w:rPr>
                <w:rFonts w:hint="eastAsia" w:ascii="宋体" w:hAnsi="宋体" w:eastAsia="宋体" w:cs="宋体"/>
                <w:sz w:val="21"/>
                <w:szCs w:val="21"/>
              </w:rPr>
              <w:t>能够激活TaqDNA聚合酶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DNA片段的电泳鉴定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在凝胶溶液凝固前加入核酸染料以便对DNA进行染色</w:t>
            </w:r>
          </w:p>
        </w:tc>
      </w:tr>
    </w:tbl>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5．大引物PCR定点突变常用来研究蛋白质结构改变导致的功能变化。单核苷酸的定点诱变仅需进行两轮PCR反应即可获得，第一轮加诱变引物和侧翼引物，第一轮产物作第二轮PCR扩增的大引物，过程如图所示。下列有关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24940" cy="1481455"/>
            <wp:effectExtent l="0" t="0" r="3810" b="44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4" r:link="rId35"/>
                    <a:stretch>
                      <a:fillRect/>
                    </a:stretch>
                  </pic:blipFill>
                  <pic:spPr>
                    <a:xfrm>
                      <a:off x="0" y="0"/>
                      <a:ext cx="1424940" cy="14814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A．PCR扩增的定点诱变产物通常需要连接到载体分子上才能表达出相应的性状，需具备启动子、终止子等结构才能进行转录和翻译</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B．单核苷酸的定点诱变所属变异类型为基因重组</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C．第二轮PCR所用的引物都是第一轮PCR产物DNA的两条链</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D．利用该技术将某功能蛋白的结构改变属于蛋白质工程</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6．利用PCR可以在体外进行DNA片段的扩增，下列有关</w:t>
      </w:r>
      <w:r>
        <w:rPr>
          <w:rFonts w:hAnsi="宋体" w:cs="Times New Roman"/>
        </w:rPr>
        <w:t>“</w:t>
      </w:r>
      <w:r>
        <w:rPr>
          <w:rFonts w:ascii="Times New Roman" w:hAnsi="Times New Roman" w:cs="Times New Roman"/>
        </w:rPr>
        <w:t>利用PCR技术扩增DNA片段并完成电泳鉴定</w:t>
      </w:r>
      <w:r>
        <w:rPr>
          <w:rFonts w:hAnsi="宋体" w:cs="Times New Roman"/>
        </w:rPr>
        <w:t>”</w:t>
      </w:r>
      <w:r>
        <w:rPr>
          <w:rFonts w:ascii="Times New Roman" w:hAnsi="Times New Roman" w:cs="Times New Roman"/>
        </w:rPr>
        <w:t>实验的叙述，错误的是(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A．PCR实验中使用的微量离心管、枪头和蒸馏水等在使用前必须进行高压灭菌处理</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B．PCR利用了DNA的热变性原理</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C．PCR所用的缓冲液和酶从冰箱拿出之后，迅速融化</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w:t>
      </w:r>
      <w:r>
        <w:rPr>
          <w:rFonts w:ascii="Times New Roman" w:hAnsi="Times New Roman" w:cs="Times New Roman"/>
        </w:rPr>
        <w:t>在向微量离心管中添加反应组分时，每吸取一种试剂后，微量取液器上的枪头都必须更换</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血凝素基因（HA）编码的血凝素是构成流感病毒囊膜纤突的主要成分。成熟的血凝素包含HA1和HA2两个亚单位，其中HA1含有病毒与受体相互作用的位点。IgGFc基因片段（长度为717bp）编码人IgG抗体中的一段小肽，常作为融合蛋白标签。蛋白质分泌依赖于信号肽的引导，本研究中用信号肽Ⅱ-2SS代替HA自身信号肽，科研人员尝试构建IL-2SS/HA1/IgG Fc融合蛋白表达载体，并导入大肠杆菌表达和分泌，请回答：</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bookmarkStart w:id="0" w:name="_GoBack"/>
      <w:r>
        <w:rPr>
          <w:rFonts w:hint="eastAsia" w:ascii="宋体" w:hAnsi="宋体" w:eastAsia="宋体" w:cs="宋体"/>
          <w:sz w:val="21"/>
          <w:szCs w:val="21"/>
        </w:rPr>
        <w:drawing>
          <wp:inline distT="0" distB="0" distL="114300" distR="114300">
            <wp:extent cx="2904490" cy="2004060"/>
            <wp:effectExtent l="0" t="0" r="1016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2904490" cy="2004060"/>
                    </a:xfrm>
                    <a:prstGeom prst="rect">
                      <a:avLst/>
                    </a:prstGeom>
                  </pic:spPr>
                </pic:pic>
              </a:graphicData>
            </a:graphic>
          </wp:inline>
        </w:drawing>
      </w:r>
      <w:bookmarkEnd w:id="0"/>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(1)流感病毒囊膜主要由_____________组成，囊膜上血凝素的合成场所在_____________。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(2)本实验用信号肽Ⅱ-2SS代替HA自身信号肽有利于_____________，PCR扩增目的基因时应该选择图中引物_____________。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(3)设计引物时，不能包含基因HA1的终止密码子的编码序列，原因是_____________。引物序列的长度及_____________直接影响着PCR过程中退火温度的设定。</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(4)应选择限制酶_____________二来切割质粒A，然后直接将PCR产物与质粒A混合，同时加入_____________酶，使得目的基因与质粒A相连。若目的基因与质粒A正向连接，用BamHI和SacI同时切割重组质粒，完全酶切后的产物的长度约为_____________bp。</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(5)融合蛋白中的标签蛋白有利于目的蛋白的分离和纯化，基因工程生产HA1作为疫苗时，选择人IgGFc作为标签的优点还有_____________。</w:t>
      </w:r>
    </w:p>
    <w:p>
      <w:pPr>
        <w:keepNext w:val="0"/>
        <w:keepLines w:val="0"/>
        <w:pageBreakBefore w:val="0"/>
        <w:widowControl w:val="0"/>
        <w:shd w:val="clear" w:color="auto" w:fill="auto"/>
        <w:kinsoku/>
        <w:wordWrap/>
        <w:overflowPunct/>
        <w:topLinePunct w:val="0"/>
        <w:autoSpaceDE/>
        <w:autoSpaceDN/>
        <w:bidi w:val="0"/>
        <w:adjustRightInd/>
        <w:spacing w:line="288" w:lineRule="auto"/>
        <w:jc w:val="left"/>
        <w:rPr>
          <w:rFonts w:hint="eastAsia" w:ascii="宋体" w:hAnsi="宋体" w:eastAsia="宋体" w:cs="宋体"/>
          <w:bCs w:val="0"/>
          <w:sz w:val="21"/>
          <w:szCs w:val="21"/>
          <w:lang w:val="en-US" w:eastAsia="zh-CN"/>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Bahnschrift">
    <w:panose1 w:val="020B0502040204020203"/>
    <w:charset w:val="00"/>
    <w:family w:val="auto"/>
    <w:pitch w:val="default"/>
    <w:sig w:usb0="A00002C7" w:usb1="00000002" w:usb2="00000000" w:usb3="00000000" w:csb0="2000019F" w:csb1="00000000"/>
  </w:font>
  <w:font w:name="Bahnschrift SemiBold Condensed">
    <w:panose1 w:val="020B0502040204020203"/>
    <w:charset w:val="00"/>
    <w:family w:val="auto"/>
    <w:pitch w:val="default"/>
    <w:sig w:usb0="A00002C7" w:usb1="00000002"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F7E31"/>
    <w:multiLevelType w:val="singleLevel"/>
    <w:tmpl w:val="DEDF7E31"/>
    <w:lvl w:ilvl="0" w:tentative="0">
      <w:start w:val="1"/>
      <w:numFmt w:val="chineseCounting"/>
      <w:suff w:val="nothing"/>
      <w:lvlText w:val="%1、"/>
      <w:lvlJc w:val="left"/>
      <w:rPr>
        <w:rFonts w:hint="eastAsia"/>
      </w:rPr>
    </w:lvl>
  </w:abstractNum>
  <w:abstractNum w:abstractNumId="1">
    <w:nsid w:val="FF950C80"/>
    <w:multiLevelType w:val="singleLevel"/>
    <w:tmpl w:val="FF950C8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MjI4NjA5Y2RkMTBmMzdjZmU4Nzc5M2ZmNzk1MmIifQ=="/>
    <w:docVar w:name="KSO_WPS_MARK_KEY" w:val="7f45e9ea-2b3f-4bf7-b97d-862b5b53ff17"/>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846A3"/>
    <w:rsid w:val="00D94190"/>
    <w:rsid w:val="00DF5056"/>
    <w:rsid w:val="00E107AA"/>
    <w:rsid w:val="00E35E3F"/>
    <w:rsid w:val="00F76FDE"/>
    <w:rsid w:val="00F823E4"/>
    <w:rsid w:val="00F859F1"/>
    <w:rsid w:val="00FE1166"/>
    <w:rsid w:val="017C675F"/>
    <w:rsid w:val="01BC4933"/>
    <w:rsid w:val="02556282"/>
    <w:rsid w:val="02965207"/>
    <w:rsid w:val="02DC42C3"/>
    <w:rsid w:val="03B20740"/>
    <w:rsid w:val="04495869"/>
    <w:rsid w:val="046D2F3F"/>
    <w:rsid w:val="04A051E7"/>
    <w:rsid w:val="062777CB"/>
    <w:rsid w:val="062E4A77"/>
    <w:rsid w:val="06AE1CC4"/>
    <w:rsid w:val="070A2DF8"/>
    <w:rsid w:val="080D14C7"/>
    <w:rsid w:val="085813B6"/>
    <w:rsid w:val="088D4CCB"/>
    <w:rsid w:val="098204DD"/>
    <w:rsid w:val="09B66250"/>
    <w:rsid w:val="0A155D31"/>
    <w:rsid w:val="0A1D3427"/>
    <w:rsid w:val="0A251231"/>
    <w:rsid w:val="0A280352"/>
    <w:rsid w:val="0AA7129C"/>
    <w:rsid w:val="0AF542BA"/>
    <w:rsid w:val="0B3C77AF"/>
    <w:rsid w:val="0B710D38"/>
    <w:rsid w:val="0B9D09F9"/>
    <w:rsid w:val="0BEF6A57"/>
    <w:rsid w:val="0C195566"/>
    <w:rsid w:val="0C620522"/>
    <w:rsid w:val="0C924611"/>
    <w:rsid w:val="0CFC1489"/>
    <w:rsid w:val="0D5374B9"/>
    <w:rsid w:val="0D677BFC"/>
    <w:rsid w:val="0D8E701B"/>
    <w:rsid w:val="0DCC1659"/>
    <w:rsid w:val="0DDA308D"/>
    <w:rsid w:val="0E264689"/>
    <w:rsid w:val="0E4706B2"/>
    <w:rsid w:val="0E774210"/>
    <w:rsid w:val="0ED62D22"/>
    <w:rsid w:val="0FDD4E95"/>
    <w:rsid w:val="0FF5133B"/>
    <w:rsid w:val="10101AD4"/>
    <w:rsid w:val="1068049B"/>
    <w:rsid w:val="108F0808"/>
    <w:rsid w:val="10D13AC7"/>
    <w:rsid w:val="1140560A"/>
    <w:rsid w:val="11691059"/>
    <w:rsid w:val="11B456DE"/>
    <w:rsid w:val="11BF5C67"/>
    <w:rsid w:val="11D1631B"/>
    <w:rsid w:val="12301B77"/>
    <w:rsid w:val="1255460F"/>
    <w:rsid w:val="12BB4F25"/>
    <w:rsid w:val="12ED17BC"/>
    <w:rsid w:val="13173C0E"/>
    <w:rsid w:val="13C71F28"/>
    <w:rsid w:val="13EE374C"/>
    <w:rsid w:val="14B56060"/>
    <w:rsid w:val="15791A87"/>
    <w:rsid w:val="15F20DD8"/>
    <w:rsid w:val="16CB00C0"/>
    <w:rsid w:val="16D0338E"/>
    <w:rsid w:val="16D57191"/>
    <w:rsid w:val="174D6D27"/>
    <w:rsid w:val="17876386"/>
    <w:rsid w:val="178B184C"/>
    <w:rsid w:val="17B56682"/>
    <w:rsid w:val="18813708"/>
    <w:rsid w:val="191E097B"/>
    <w:rsid w:val="1921046B"/>
    <w:rsid w:val="199C2692"/>
    <w:rsid w:val="19AD249F"/>
    <w:rsid w:val="1A576082"/>
    <w:rsid w:val="1A613431"/>
    <w:rsid w:val="1A9E4D5F"/>
    <w:rsid w:val="1AAA35F7"/>
    <w:rsid w:val="1AB330B9"/>
    <w:rsid w:val="1B0672BE"/>
    <w:rsid w:val="1B6467F3"/>
    <w:rsid w:val="1B862808"/>
    <w:rsid w:val="1C2709AB"/>
    <w:rsid w:val="1CD5277F"/>
    <w:rsid w:val="1D87128E"/>
    <w:rsid w:val="1E05451A"/>
    <w:rsid w:val="1E77124A"/>
    <w:rsid w:val="1EA71650"/>
    <w:rsid w:val="1EDF55A0"/>
    <w:rsid w:val="1F3507CD"/>
    <w:rsid w:val="1FAC68F4"/>
    <w:rsid w:val="2003348D"/>
    <w:rsid w:val="20B24BC3"/>
    <w:rsid w:val="20BA7A06"/>
    <w:rsid w:val="20C03CFD"/>
    <w:rsid w:val="20CD3CFA"/>
    <w:rsid w:val="21167508"/>
    <w:rsid w:val="213D7346"/>
    <w:rsid w:val="216B7770"/>
    <w:rsid w:val="217E4762"/>
    <w:rsid w:val="21E66F14"/>
    <w:rsid w:val="223A0CFF"/>
    <w:rsid w:val="22E87826"/>
    <w:rsid w:val="232079E6"/>
    <w:rsid w:val="23513890"/>
    <w:rsid w:val="239323AD"/>
    <w:rsid w:val="23A26A41"/>
    <w:rsid w:val="242E61F1"/>
    <w:rsid w:val="24F233A7"/>
    <w:rsid w:val="25423C43"/>
    <w:rsid w:val="25BC7259"/>
    <w:rsid w:val="25E50E0C"/>
    <w:rsid w:val="25E63124"/>
    <w:rsid w:val="263E08AF"/>
    <w:rsid w:val="267E0CAB"/>
    <w:rsid w:val="26C07516"/>
    <w:rsid w:val="26D86519"/>
    <w:rsid w:val="27814EF7"/>
    <w:rsid w:val="28452A15"/>
    <w:rsid w:val="291D47BB"/>
    <w:rsid w:val="29B57723"/>
    <w:rsid w:val="2A3035A4"/>
    <w:rsid w:val="2A94070E"/>
    <w:rsid w:val="2AA970CE"/>
    <w:rsid w:val="2ABE3027"/>
    <w:rsid w:val="2B0C0D70"/>
    <w:rsid w:val="2B904518"/>
    <w:rsid w:val="2B9920E3"/>
    <w:rsid w:val="2C5A1A0A"/>
    <w:rsid w:val="2CEC409B"/>
    <w:rsid w:val="2DB6793F"/>
    <w:rsid w:val="2DCF4A75"/>
    <w:rsid w:val="2DE758DC"/>
    <w:rsid w:val="2DE95338"/>
    <w:rsid w:val="2E0813F4"/>
    <w:rsid w:val="2E4D171D"/>
    <w:rsid w:val="2E5C48C6"/>
    <w:rsid w:val="2E6E668E"/>
    <w:rsid w:val="2F640B7F"/>
    <w:rsid w:val="2F88521B"/>
    <w:rsid w:val="2FBA000E"/>
    <w:rsid w:val="30217E5C"/>
    <w:rsid w:val="306F06F9"/>
    <w:rsid w:val="307E587B"/>
    <w:rsid w:val="30A341B3"/>
    <w:rsid w:val="30FC59CB"/>
    <w:rsid w:val="318F65D6"/>
    <w:rsid w:val="321F6398"/>
    <w:rsid w:val="32435D80"/>
    <w:rsid w:val="32E16957"/>
    <w:rsid w:val="334F627B"/>
    <w:rsid w:val="335E594A"/>
    <w:rsid w:val="33CF15E7"/>
    <w:rsid w:val="34265AC2"/>
    <w:rsid w:val="35947BB2"/>
    <w:rsid w:val="36244970"/>
    <w:rsid w:val="36650B8E"/>
    <w:rsid w:val="36A43F12"/>
    <w:rsid w:val="373B770A"/>
    <w:rsid w:val="378158DD"/>
    <w:rsid w:val="378A748D"/>
    <w:rsid w:val="385C381E"/>
    <w:rsid w:val="387B4AF8"/>
    <w:rsid w:val="39E41315"/>
    <w:rsid w:val="3A5B53D9"/>
    <w:rsid w:val="3B820DE6"/>
    <w:rsid w:val="3BD9601B"/>
    <w:rsid w:val="3C8B5A78"/>
    <w:rsid w:val="3D6D53E9"/>
    <w:rsid w:val="3EF7239A"/>
    <w:rsid w:val="3F3860FA"/>
    <w:rsid w:val="3F511CD7"/>
    <w:rsid w:val="3FA86047"/>
    <w:rsid w:val="4024421A"/>
    <w:rsid w:val="404144A8"/>
    <w:rsid w:val="407F2DA0"/>
    <w:rsid w:val="41C566AE"/>
    <w:rsid w:val="424F442A"/>
    <w:rsid w:val="4298308D"/>
    <w:rsid w:val="42AD5DF2"/>
    <w:rsid w:val="440B474F"/>
    <w:rsid w:val="44686E59"/>
    <w:rsid w:val="45181E73"/>
    <w:rsid w:val="458302F3"/>
    <w:rsid w:val="45E97659"/>
    <w:rsid w:val="46767799"/>
    <w:rsid w:val="469E02A9"/>
    <w:rsid w:val="46E42955"/>
    <w:rsid w:val="470F16AF"/>
    <w:rsid w:val="47237A73"/>
    <w:rsid w:val="47600DDC"/>
    <w:rsid w:val="478A528A"/>
    <w:rsid w:val="47FE1BC7"/>
    <w:rsid w:val="490E5A67"/>
    <w:rsid w:val="49115242"/>
    <w:rsid w:val="49634823"/>
    <w:rsid w:val="49B06B1E"/>
    <w:rsid w:val="49B94DFA"/>
    <w:rsid w:val="49E35C19"/>
    <w:rsid w:val="4A0A34A4"/>
    <w:rsid w:val="4AC77712"/>
    <w:rsid w:val="4AFA2015"/>
    <w:rsid w:val="4C0513A3"/>
    <w:rsid w:val="4C760506"/>
    <w:rsid w:val="4D4D7998"/>
    <w:rsid w:val="4D505C2D"/>
    <w:rsid w:val="4D607B3A"/>
    <w:rsid w:val="4D7B212F"/>
    <w:rsid w:val="4DA643A2"/>
    <w:rsid w:val="4DE10005"/>
    <w:rsid w:val="4E3251A6"/>
    <w:rsid w:val="4E6C09E4"/>
    <w:rsid w:val="4EA80065"/>
    <w:rsid w:val="4F777776"/>
    <w:rsid w:val="4FC666BA"/>
    <w:rsid w:val="50131D11"/>
    <w:rsid w:val="506D62AB"/>
    <w:rsid w:val="50EB4A23"/>
    <w:rsid w:val="50EB73D9"/>
    <w:rsid w:val="51234CC8"/>
    <w:rsid w:val="51731BE4"/>
    <w:rsid w:val="519B4177"/>
    <w:rsid w:val="51A95C51"/>
    <w:rsid w:val="521C63EA"/>
    <w:rsid w:val="53383E26"/>
    <w:rsid w:val="5428172B"/>
    <w:rsid w:val="54665BE9"/>
    <w:rsid w:val="54A44D39"/>
    <w:rsid w:val="551246E8"/>
    <w:rsid w:val="55204A63"/>
    <w:rsid w:val="553C4F59"/>
    <w:rsid w:val="557C11BD"/>
    <w:rsid w:val="55D5785B"/>
    <w:rsid w:val="57743881"/>
    <w:rsid w:val="583D5543"/>
    <w:rsid w:val="58AB42E3"/>
    <w:rsid w:val="59712FB9"/>
    <w:rsid w:val="59D22590"/>
    <w:rsid w:val="5A0159AE"/>
    <w:rsid w:val="5A1A613D"/>
    <w:rsid w:val="5A2E3792"/>
    <w:rsid w:val="5AC95648"/>
    <w:rsid w:val="5C4B2724"/>
    <w:rsid w:val="5C871C6C"/>
    <w:rsid w:val="5CBD1901"/>
    <w:rsid w:val="5CD532B4"/>
    <w:rsid w:val="5D0A77A9"/>
    <w:rsid w:val="5D4E247E"/>
    <w:rsid w:val="5E095E72"/>
    <w:rsid w:val="5E23231B"/>
    <w:rsid w:val="5E266E07"/>
    <w:rsid w:val="5E5B5334"/>
    <w:rsid w:val="5E5C62E9"/>
    <w:rsid w:val="5E792C2A"/>
    <w:rsid w:val="5F20566D"/>
    <w:rsid w:val="5F6A3CFF"/>
    <w:rsid w:val="5F6B37BB"/>
    <w:rsid w:val="5FC07B2B"/>
    <w:rsid w:val="60F456DE"/>
    <w:rsid w:val="60FA4091"/>
    <w:rsid w:val="618B3CA1"/>
    <w:rsid w:val="61A26D1F"/>
    <w:rsid w:val="62AE40EB"/>
    <w:rsid w:val="62C45238"/>
    <w:rsid w:val="63145F40"/>
    <w:rsid w:val="637835F1"/>
    <w:rsid w:val="639316B3"/>
    <w:rsid w:val="63D6555A"/>
    <w:rsid w:val="640507B0"/>
    <w:rsid w:val="6418789A"/>
    <w:rsid w:val="64AE4585"/>
    <w:rsid w:val="65041425"/>
    <w:rsid w:val="65C61027"/>
    <w:rsid w:val="65EC067F"/>
    <w:rsid w:val="66394772"/>
    <w:rsid w:val="6694184A"/>
    <w:rsid w:val="66DF198B"/>
    <w:rsid w:val="671832CB"/>
    <w:rsid w:val="676C3601"/>
    <w:rsid w:val="67EE31DB"/>
    <w:rsid w:val="681B7D1D"/>
    <w:rsid w:val="682544A1"/>
    <w:rsid w:val="68582DDC"/>
    <w:rsid w:val="686B1B91"/>
    <w:rsid w:val="69476318"/>
    <w:rsid w:val="69912E82"/>
    <w:rsid w:val="69F16456"/>
    <w:rsid w:val="6B88654D"/>
    <w:rsid w:val="6B97523F"/>
    <w:rsid w:val="6C075F49"/>
    <w:rsid w:val="6C8E0883"/>
    <w:rsid w:val="6D333A34"/>
    <w:rsid w:val="6D8506AD"/>
    <w:rsid w:val="6E084582"/>
    <w:rsid w:val="6FB470AF"/>
    <w:rsid w:val="705F4F20"/>
    <w:rsid w:val="71027521"/>
    <w:rsid w:val="710D050A"/>
    <w:rsid w:val="711F521E"/>
    <w:rsid w:val="71F907B3"/>
    <w:rsid w:val="722D2CCC"/>
    <w:rsid w:val="72AA73D8"/>
    <w:rsid w:val="74387CB8"/>
    <w:rsid w:val="74394E34"/>
    <w:rsid w:val="74480E3B"/>
    <w:rsid w:val="75F914CB"/>
    <w:rsid w:val="762108DE"/>
    <w:rsid w:val="76523697"/>
    <w:rsid w:val="769F1D04"/>
    <w:rsid w:val="76C7195B"/>
    <w:rsid w:val="76E96531"/>
    <w:rsid w:val="77607E56"/>
    <w:rsid w:val="77BF249E"/>
    <w:rsid w:val="77E91850"/>
    <w:rsid w:val="78033ABE"/>
    <w:rsid w:val="785030F6"/>
    <w:rsid w:val="78DA187D"/>
    <w:rsid w:val="78E569ED"/>
    <w:rsid w:val="795B1D53"/>
    <w:rsid w:val="79ED1A9E"/>
    <w:rsid w:val="7AFE7B3C"/>
    <w:rsid w:val="7B653379"/>
    <w:rsid w:val="7BC71A19"/>
    <w:rsid w:val="7C440456"/>
    <w:rsid w:val="7D355ACC"/>
    <w:rsid w:val="7D414429"/>
    <w:rsid w:val="7D683958"/>
    <w:rsid w:val="7D701CB7"/>
    <w:rsid w:val="7DA146D0"/>
    <w:rsid w:val="7DE07944"/>
    <w:rsid w:val="7E863678"/>
    <w:rsid w:val="7E904CFB"/>
    <w:rsid w:val="7E9C6AB3"/>
    <w:rsid w:val="7EAF501B"/>
    <w:rsid w:val="7F040C9F"/>
    <w:rsid w:val="7F2C5A0D"/>
    <w:rsid w:val="7F2E077F"/>
    <w:rsid w:val="7F525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4">
    <w:name w:val="heading 6"/>
    <w:next w:val="5"/>
    <w:unhideWhenUsed/>
    <w:qFormat/>
    <w:uiPriority w:val="9"/>
    <w:pPr>
      <w:jc w:val="center"/>
      <w:outlineLvl w:val="5"/>
    </w:pPr>
    <w:rPr>
      <w:rFonts w:ascii="Times New Roman" w:hAnsi="Times New Roman" w:eastAsia="宋体" w:cs="Times New Roman"/>
      <w:b/>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5">
    <w:name w:val="正文1"/>
    <w:qFormat/>
    <w:uiPriority w:val="0"/>
    <w:pPr>
      <w:spacing w:line="300" w:lineRule="auto"/>
    </w:pPr>
    <w:rPr>
      <w:rFonts w:ascii="Times New Roman" w:hAnsi="Times New Roman" w:eastAsia="宋体" w:cs="Times New Roman"/>
      <w:szCs w:val="21"/>
      <w:lang w:val="en-US" w:eastAsia="zh-CN" w:bidi="ar-SA"/>
    </w:rPr>
  </w:style>
  <w:style w:type="paragraph" w:styleId="6">
    <w:name w:val="Plain Text"/>
    <w:basedOn w:val="1"/>
    <w:link w:val="15"/>
    <w:qFormat/>
    <w:uiPriority w:val="0"/>
    <w:rPr>
      <w:rFonts w:hint="eastAsia" w:ascii="宋体" w:hAnsi="Courier New" w:eastAsia="宋体" w:cs="Courier New"/>
      <w:szCs w:val="21"/>
    </w:rPr>
  </w:style>
  <w:style w:type="paragraph" w:styleId="7">
    <w:name w:val="Body Text Indent 2"/>
    <w:basedOn w:val="1"/>
    <w:link w:val="19"/>
    <w:qFormat/>
    <w:uiPriority w:val="0"/>
    <w:pPr>
      <w:spacing w:after="120" w:line="480" w:lineRule="auto"/>
      <w:ind w:left="420" w:leftChars="200"/>
    </w:pPr>
    <w:rPr>
      <w:rFonts w:ascii="Times New Roman" w:hAnsi="Times New Roman" w:eastAsia="宋体" w:cs="Times New Roman"/>
      <w:szCs w:val="24"/>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3">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纯文本 Char"/>
    <w:basedOn w:val="14"/>
    <w:link w:val="6"/>
    <w:qFormat/>
    <w:uiPriority w:val="0"/>
    <w:rPr>
      <w:rFonts w:ascii="宋体" w:hAnsi="Courier New" w:eastAsia="宋体" w:cs="Courier New"/>
      <w:szCs w:val="21"/>
    </w:rPr>
  </w:style>
  <w:style w:type="character" w:customStyle="1" w:styleId="16">
    <w:name w:val="HTML 预设格式 Char"/>
    <w:basedOn w:val="14"/>
    <w:link w:val="10"/>
    <w:qFormat/>
    <w:uiPriority w:val="0"/>
    <w:rPr>
      <w:rFonts w:ascii="Arial" w:hAnsi="Arial" w:eastAsia="宋体" w:cs="Arial"/>
      <w:kern w:val="0"/>
      <w:szCs w:val="21"/>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正文文本缩进 2 Char"/>
    <w:basedOn w:val="14"/>
    <w:link w:val="7"/>
    <w:qFormat/>
    <w:uiPriority w:val="0"/>
    <w:rPr>
      <w:rFonts w:ascii="Times New Roman" w:hAnsi="Times New Roman" w:eastAsia="宋体" w:cs="Times New Roman"/>
      <w:szCs w:val="24"/>
    </w:rPr>
  </w:style>
  <w:style w:type="paragraph" w:styleId="20">
    <w:name w:val="List Paragraph"/>
    <w:basedOn w:val="1"/>
    <w:unhideWhenUsed/>
    <w:qFormat/>
    <w:uiPriority w:val="99"/>
    <w:pPr>
      <w:ind w:firstLine="420" w:firstLineChars="200"/>
    </w:p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无间隔"/>
    <w:qFormat/>
    <w:uiPriority w:val="0"/>
    <w:rPr>
      <w:rFonts w:ascii="NEU-BZ-S92" w:hAnsi="NEU-BZ-S92" w:eastAsia="方正书宋_GBK" w:cs="Times New Roman"/>
      <w:color w:val="000000"/>
      <w:szCs w:val="22"/>
      <w:lang w:val="en-US" w:eastAsia="zh-CN" w:bidi="ar-SA"/>
    </w:rPr>
  </w:style>
  <w:style w:type="paragraph" w:customStyle="1" w:styleId="24">
    <w:name w:val="纯文本_0"/>
    <w:basedOn w:val="22"/>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A+123.TIF"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A+124.TIF" TargetMode="External"/><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26032;&#24314;&#25991;&#20214;&#22841;/9-292.TIF" TargetMode="External"/><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26032;&#24314;&#25991;&#20214;&#22841;/9-306.TIF" TargetMode="External"/><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26032;&#24314;&#25991;&#20214;&#22841;/9-305.TIF" TargetMode="Externa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26032;&#24314;&#25991;&#20214;&#22841;/9-285.TIF" TargetMode="Externa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A+128.TIF" TargetMode="Externa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5830</Words>
  <Characters>7217</Characters>
  <Lines>12</Lines>
  <Paragraphs>3</Paragraphs>
  <TotalTime>12</TotalTime>
  <ScaleCrop>false</ScaleCrop>
  <LinksUpToDate>false</LinksUpToDate>
  <CharactersWithSpaces>7607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康建莉</cp:lastModifiedBy>
  <dcterms:modified xsi:type="dcterms:W3CDTF">2025-02-20T08:23:56Z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6F8B71DA064F49838A10F7D5B49ADBFB</vt:lpwstr>
  </property>
</Properties>
</file>