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黑体"/>
          <w:b/>
          <w:bCs/>
          <w:sz w:val="28"/>
          <w:lang w:val="en-US" w:eastAsia="zh-CN"/>
        </w:rPr>
      </w:pPr>
      <w:r>
        <w:rPr>
          <w:rFonts w:hint="eastAsia" w:ascii="黑体" w:hAnsi="黑体" w:eastAsia="黑体" w:cs="黑体"/>
          <w:b/>
          <w:bCs/>
          <w:sz w:val="28"/>
        </w:rPr>
        <w:t>江苏省仪征中学2024-2025学年度第</w:t>
      </w:r>
      <w:r>
        <w:rPr>
          <w:rFonts w:hint="eastAsia" w:ascii="黑体" w:hAnsi="黑体" w:eastAsia="黑体" w:cs="黑体"/>
          <w:b/>
          <w:bCs/>
          <w:sz w:val="28"/>
          <w:lang w:val="en-US" w:eastAsia="zh-CN"/>
        </w:rPr>
        <w:t>二</w:t>
      </w:r>
      <w:r>
        <w:rPr>
          <w:rFonts w:hint="eastAsia" w:ascii="黑体" w:hAnsi="黑体" w:eastAsia="黑体" w:cs="黑体"/>
          <w:b/>
          <w:bCs/>
          <w:sz w:val="28"/>
        </w:rPr>
        <w:t>学期高二历史提升性练习</w:t>
      </w:r>
      <w:r>
        <w:rPr>
          <w:rFonts w:hint="eastAsia" w:ascii="黑体" w:hAnsi="黑体" w:eastAsia="黑体" w:cs="黑体"/>
          <w:b/>
          <w:bCs/>
          <w:sz w:val="28"/>
          <w:lang w:val="en-US" w:eastAsia="zh-CN"/>
        </w:rPr>
        <w:t>六</w:t>
      </w:r>
    </w:p>
    <w:p>
      <w:pPr>
        <w:ind w:left="2148"/>
        <w:rPr>
          <w:rFonts w:ascii="楷体" w:hAnsi="楷体" w:eastAsia="楷体"/>
          <w:sz w:val="24"/>
          <w:szCs w:val="24"/>
        </w:rPr>
      </w:pPr>
      <w:r>
        <w:rPr>
          <w:rFonts w:hint="eastAsia" w:ascii="楷体" w:hAnsi="楷体" w:eastAsia="楷体"/>
          <w:sz w:val="24"/>
          <w:szCs w:val="24"/>
        </w:rPr>
        <w:t xml:space="preserve">研制人：秦洪虹   </w:t>
      </w:r>
      <w:r>
        <w:rPr>
          <w:rFonts w:ascii="楷体" w:hAnsi="楷体" w:eastAsia="楷体"/>
          <w:sz w:val="24"/>
          <w:szCs w:val="24"/>
        </w:rPr>
        <w:t xml:space="preserve">           </w:t>
      </w:r>
      <w:r>
        <w:rPr>
          <w:rFonts w:hint="eastAsia" w:ascii="楷体" w:hAnsi="楷体" w:eastAsia="楷体"/>
          <w:sz w:val="24"/>
          <w:szCs w:val="24"/>
        </w:rPr>
        <w:t>审核人：金忠霞</w:t>
      </w:r>
    </w:p>
    <w:p>
      <w:pPr>
        <w:jc w:val="center"/>
        <w:rPr>
          <w:rFonts w:ascii="Times New Roman" w:hAnsi="Times New Roman" w:cs="Times New Roman"/>
          <w:sz w:val="24"/>
          <w:szCs w:val="24"/>
        </w:rPr>
      </w:pPr>
      <w:r>
        <w:rPr>
          <w:rFonts w:hint="eastAsia" w:ascii="楷体" w:hAnsi="楷体" w:eastAsia="楷体" w:cs="楷体"/>
          <w:sz w:val="24"/>
          <w:szCs w:val="24"/>
        </w:rPr>
        <w:t>班级：</w:t>
      </w:r>
      <w:r>
        <w:rPr>
          <w:rFonts w:hint="eastAsia" w:ascii="楷体" w:hAnsi="楷体" w:eastAsia="楷体" w:cs="楷体"/>
          <w:sz w:val="24"/>
          <w:szCs w:val="24"/>
          <w:u w:val="single"/>
        </w:rPr>
        <w:t xml:space="preserve">        </w:t>
      </w:r>
      <w:r>
        <w:rPr>
          <w:rFonts w:hint="eastAsia" w:ascii="楷体" w:hAnsi="楷体" w:eastAsia="楷体" w:cs="楷体"/>
          <w:sz w:val="24"/>
          <w:szCs w:val="24"/>
        </w:rPr>
        <w:t xml:space="preserve"> 姓名：</w:t>
      </w:r>
      <w:r>
        <w:rPr>
          <w:rFonts w:hint="eastAsia" w:ascii="楷体" w:hAnsi="楷体" w:eastAsia="楷体" w:cs="楷体"/>
          <w:sz w:val="24"/>
          <w:szCs w:val="24"/>
          <w:u w:val="single"/>
        </w:rPr>
        <w:t xml:space="preserve">        </w:t>
      </w:r>
      <w:r>
        <w:rPr>
          <w:rFonts w:hint="eastAsia" w:ascii="楷体" w:hAnsi="楷体" w:eastAsia="楷体" w:cs="楷体"/>
          <w:sz w:val="24"/>
          <w:szCs w:val="24"/>
        </w:rPr>
        <w:t>学号：</w:t>
      </w:r>
      <w:r>
        <w:rPr>
          <w:rFonts w:hint="eastAsia" w:ascii="楷体" w:hAnsi="楷体" w:eastAsia="楷体" w:cs="楷体"/>
          <w:sz w:val="24"/>
          <w:szCs w:val="24"/>
          <w:u w:val="single"/>
        </w:rPr>
        <w:t xml:space="preserve">       </w:t>
      </w:r>
      <w:r>
        <w:rPr>
          <w:rFonts w:hint="eastAsia" w:ascii="楷体" w:hAnsi="楷体" w:eastAsia="楷体" w:cs="楷体"/>
          <w:sz w:val="24"/>
          <w:szCs w:val="24"/>
        </w:rPr>
        <w:t>时间：</w:t>
      </w:r>
      <w:r>
        <w:rPr>
          <w:rFonts w:hint="eastAsia" w:ascii="楷体" w:hAnsi="楷体" w:eastAsia="楷体" w:cs="楷体"/>
          <w:sz w:val="24"/>
          <w:szCs w:val="24"/>
          <w:u w:val="single"/>
        </w:rPr>
        <w:t>202</w:t>
      </w:r>
      <w:r>
        <w:rPr>
          <w:rFonts w:hint="eastAsia" w:ascii="楷体" w:hAnsi="楷体" w:eastAsia="楷体" w:cs="楷体"/>
          <w:sz w:val="24"/>
          <w:szCs w:val="24"/>
          <w:u w:val="single"/>
          <w:lang w:val="en-US" w:eastAsia="zh-CN"/>
        </w:rPr>
        <w:t>5</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3</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22</w:t>
      </w:r>
      <w:r>
        <w:rPr>
          <w:rFonts w:hint="eastAsia" w:ascii="楷体" w:hAnsi="楷体" w:eastAsia="楷体" w:cs="楷体"/>
          <w:bCs/>
          <w:sz w:val="24"/>
          <w:szCs w:val="24"/>
        </w:rPr>
        <w:t>作业时长：</w:t>
      </w:r>
      <w:r>
        <w:rPr>
          <w:rFonts w:hint="eastAsia" w:ascii="楷体" w:hAnsi="楷体" w:eastAsia="楷体" w:cs="楷体"/>
          <w:bCs/>
          <w:sz w:val="24"/>
          <w:szCs w:val="24"/>
          <w:u w:val="single"/>
        </w:rPr>
        <w:t xml:space="preserve"> 50分钟</w:t>
      </w:r>
    </w:p>
    <w:p>
      <w:pPr>
        <w:pStyle w:val="3"/>
        <w:spacing w:after="0" w:line="240" w:lineRule="auto"/>
        <w:rPr>
          <w:rFonts w:ascii="宋体" w:hAnsi="宋体" w:eastAsia="宋体" w:cs="宋体"/>
          <w:sz w:val="21"/>
          <w:szCs w:val="21"/>
          <w:lang w:eastAsia="zh-CN"/>
        </w:rPr>
      </w:pPr>
    </w:p>
    <w:p>
      <w:pPr>
        <w:widowControl/>
        <w:jc w:val="left"/>
        <w:rPr>
          <w:rFonts w:ascii="宋体" w:hAnsi="宋体" w:cs="宋体"/>
          <w:bCs/>
          <w:kern w:val="0"/>
          <w:szCs w:val="21"/>
        </w:rPr>
      </w:pPr>
      <w:r>
        <w:rPr>
          <w:rFonts w:hint="eastAsia" w:ascii="宋体" w:hAnsi="宋体" w:cs="宋体"/>
          <w:b/>
          <w:kern w:val="0"/>
          <w:szCs w:val="21"/>
        </w:rPr>
        <w:t>一、选择题</w:t>
      </w:r>
      <w:r>
        <w:rPr>
          <w:rFonts w:hint="eastAsia"/>
          <w:b/>
        </w:rPr>
        <w:t>（共16题</w:t>
      </w:r>
      <w:r>
        <w:rPr>
          <w:rFonts w:hint="eastAsia"/>
          <w:b/>
          <w:lang w:eastAsia="zh-CN"/>
        </w:rPr>
        <w:t>，</w:t>
      </w:r>
      <w:r>
        <w:rPr>
          <w:rFonts w:hint="eastAsia"/>
          <w:b/>
        </w:rPr>
        <w:t>每题3分</w:t>
      </w:r>
      <w:r>
        <w:rPr>
          <w:rFonts w:hint="eastAsia"/>
          <w:b/>
          <w:lang w:eastAsia="zh-CN"/>
        </w:rPr>
        <w:t>，</w:t>
      </w:r>
      <w:r>
        <w:rPr>
          <w:rFonts w:hint="eastAsia"/>
          <w:b/>
        </w:rPr>
        <w:t>合计48分）</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 据《史记》记载，晋文公在践土召开会盟，与会的周天子实际上是被召唤来的，但是，《春秋》讳之曰“天王狩于河阳”。孟子说：“孔子成《春秋》而乱臣贼子惧”。由此说明，孔子意在</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抨击诸侯争霸</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B. 重建伦理和政治秩序</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维护西周统治</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D. 警示晋文公尊礼守德</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 下表为汉武帝继位后采取的重大举措，该表反映了这一时期</w:t>
      </w:r>
    </w:p>
    <w:tbl>
      <w:tblPr>
        <w:tblStyle w:val="9"/>
        <w:tblW w:w="9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69"/>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时间</w:t>
            </w:r>
          </w:p>
        </w:tc>
        <w:tc>
          <w:tcPr>
            <w:tcW w:w="652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举措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公元前138年</w:t>
            </w:r>
          </w:p>
        </w:tc>
        <w:tc>
          <w:tcPr>
            <w:tcW w:w="652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派张骞出使西域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公元前133年</w:t>
            </w:r>
          </w:p>
        </w:tc>
        <w:tc>
          <w:tcPr>
            <w:tcW w:w="652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对匈奴开战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公元前127年</w:t>
            </w:r>
          </w:p>
        </w:tc>
        <w:tc>
          <w:tcPr>
            <w:tcW w:w="652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收复河套；颁布推恩令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公元前124—公元前119年</w:t>
            </w:r>
          </w:p>
        </w:tc>
        <w:tc>
          <w:tcPr>
            <w:tcW w:w="652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派卫青、霍去病四次出击匈奴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公元前119年</w:t>
            </w:r>
          </w:p>
        </w:tc>
        <w:tc>
          <w:tcPr>
            <w:tcW w:w="652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派张骞第二次出使西域；实行盐铁专卖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公元前118年</w:t>
            </w:r>
          </w:p>
        </w:tc>
        <w:tc>
          <w:tcPr>
            <w:tcW w:w="652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统一货币</w:t>
            </w:r>
          </w:p>
        </w:tc>
      </w:tr>
    </w:tbl>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核心是加强中原与西域联系</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B. 诸侯王割据威胁皇权</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战争中凸显中央集权的优势</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D. 统制经济以扩大财源</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3. 白居易在《赠友》中描述了两税征钱导致钱重物轻而伤农的现象，主张“复彼租庸法，令如贞观年”。柳宗元认为只有“舍其产而唯丁田之问”才能避免“贫者愈困饿死亡而莫之省，富者愈恣横侈泰而无所忌”。由此可知，当时</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政府加强对农民人身控制</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B. 租庸调制仍然得到普遍认同</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税制改革面临现实性挑战</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D. 两税法唯以资产</w:t>
      </w:r>
      <w:r>
        <w:rPr>
          <w:rFonts w:hint="eastAsia" w:ascii="宋体" w:hAnsi="宋体" w:cs="宋体" w:eastAsiaTheme="minorEastAsia"/>
          <w:bCs/>
          <w:kern w:val="0"/>
          <w:sz w:val="21"/>
          <w:szCs w:val="21"/>
          <w:lang w:val="en-US" w:eastAsia="zh-CN" w:bidi="ar-SA"/>
        </w:rPr>
        <w:drawing>
          <wp:inline distT="0" distB="0" distL="0" distR="0">
            <wp:extent cx="158750" cy="190500"/>
            <wp:effectExtent l="0" t="0" r="0" b="0"/>
            <wp:docPr id="1249097327" name="图片 124909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97327" name="图片 1249097327"/>
                    <pic:cNvPicPr>
                      <a:picLocks noChangeAspect="1"/>
                    </pic:cNvPicPr>
                  </pic:nvPicPr>
                  <pic:blipFill>
                    <a:blip r:embed="rId5"/>
                    <a:stretch>
                      <a:fillRect/>
                    </a:stretch>
                  </pic:blipFill>
                  <pic:spPr>
                    <a:xfrm>
                      <a:off x="0" y="0"/>
                      <a:ext cx="158750" cy="190500"/>
                    </a:xfrm>
                    <a:prstGeom prst="rect">
                      <a:avLst/>
                    </a:prstGeom>
                  </pic:spPr>
                </pic:pic>
              </a:graphicData>
            </a:graphic>
          </wp:inline>
        </w:drawing>
      </w:r>
      <w:r>
        <w:rPr>
          <w:rFonts w:hint="eastAsia" w:ascii="宋体" w:hAnsi="宋体" w:cs="宋体" w:eastAsiaTheme="minorEastAsia"/>
          <w:bCs/>
          <w:kern w:val="0"/>
          <w:sz w:val="21"/>
          <w:szCs w:val="21"/>
          <w:lang w:val="en-US" w:eastAsia="zh-CN" w:bidi="ar-SA"/>
        </w:rPr>
        <w:t>征税标准</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4. 有学者认为， “北宋一代，是儒家学者们的觉醒时期，当时绝大部分儒学家们，不再只是拘守着儒家旧有的思想壁垒，作为反对佛老的基地，而是扩大阵地，扩大战果，努力于振兴儒学，使儒家学派重新居于佛道两家之上”。这一“觉醒”</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推动儒学内涵的丰富充实</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B. 旨在否定佛老思想</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确立了理学官方正统地位</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D. 重建了个人价值观</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5. 清代，“江、浙之米，皆取给于江西、湖广”。苏州虽产米很多，但“本地所产耗于酒者大半”，所以“无论丰歉，江、广、安徽之客米来售者岁不下数百万石”。河南、东北的棉花供销各地，而棉布却又仰给于外省。这主要反映出当时</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南北经济发展的不平衡加剧</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B. 政府推广农业多种经营</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区域间的经济联系愈加密切</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D. 南方的手工业领先全国</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6. 1902年，面向孺童群体的《启蒙画报》于北京创刊，其宗旨为“欲合我中国千五百州县后进英才之群力，辟世界新机”，参考中西教育课程，设有格致、舆地、算术、动植物等栏目。据此可知，该画报</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取代传统报刊成为主流</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B. 兼具启蒙与救亡双重变奏</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得益于新政废除科举制</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D. 基于新闻救国的现实考量</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ascii="宋体" w:hAnsi="宋体"/>
          <w:color w:val="000000"/>
          <w:szCs w:val="21"/>
        </w:rPr>
        <w:drawing>
          <wp:anchor distT="0" distB="0" distL="0" distR="0" simplePos="0" relativeHeight="251662336" behindDoc="1" locked="0" layoutInCell="1" allowOverlap="1">
            <wp:simplePos x="0" y="0"/>
            <wp:positionH relativeFrom="column">
              <wp:posOffset>3028950</wp:posOffset>
            </wp:positionH>
            <wp:positionV relativeFrom="paragraph">
              <wp:posOffset>-55245</wp:posOffset>
            </wp:positionV>
            <wp:extent cx="3175635" cy="1355090"/>
            <wp:effectExtent l="0" t="0" r="0" b="0"/>
            <wp:wrapTight wrapText="bothSides">
              <wp:wrapPolygon>
                <wp:start x="0" y="607"/>
                <wp:lineTo x="0" y="19636"/>
                <wp:lineTo x="2073" y="20041"/>
                <wp:lineTo x="2073" y="21256"/>
                <wp:lineTo x="18918" y="21256"/>
                <wp:lineTo x="19091" y="20041"/>
                <wp:lineTo x="19868" y="20041"/>
                <wp:lineTo x="20300" y="18827"/>
                <wp:lineTo x="20214" y="16802"/>
                <wp:lineTo x="20645" y="16600"/>
                <wp:lineTo x="20905" y="14778"/>
                <wp:lineTo x="21077" y="3846"/>
                <wp:lineTo x="20645" y="2024"/>
                <wp:lineTo x="20214" y="607"/>
                <wp:lineTo x="0" y="607"/>
              </wp:wrapPolygon>
            </wp:wrapTight>
            <wp:docPr id="390591505" name="图片 3905915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91505" name="图片 390591505"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3181879" cy="1355090"/>
                    </a:xfrm>
                    <a:prstGeom prst="rect">
                      <a:avLst/>
                    </a:prstGeom>
                  </pic:spPr>
                </pic:pic>
              </a:graphicData>
            </a:graphic>
          </wp:anchor>
        </w:drawing>
      </w:r>
      <w:r>
        <w:rPr>
          <w:rFonts w:hint="eastAsia" w:ascii="宋体" w:hAnsi="宋体" w:cs="宋体" w:eastAsiaTheme="minorEastAsia"/>
          <w:bCs/>
          <w:kern w:val="0"/>
          <w:sz w:val="21"/>
          <w:szCs w:val="21"/>
          <w:lang w:val="en-US" w:eastAsia="zh-CN" w:bidi="ar-SA"/>
        </w:rPr>
        <w:t>7.</w:t>
      </w:r>
      <w:r>
        <w:rPr>
          <w:rFonts w:hint="eastAsia" w:ascii="宋体" w:hAnsi="宋体" w:cs="宋体"/>
          <w:bCs/>
          <w:kern w:val="0"/>
          <w:sz w:val="21"/>
          <w:szCs w:val="21"/>
          <w:lang w:val="en-US" w:eastAsia="zh-CN" w:bidi="ar-SA"/>
        </w:rPr>
        <w:t xml:space="preserve"> 右</w:t>
      </w:r>
      <w:r>
        <w:rPr>
          <w:rFonts w:hint="eastAsia" w:ascii="宋体" w:hAnsi="宋体" w:cs="宋体" w:eastAsiaTheme="minorEastAsia"/>
          <w:bCs/>
          <w:kern w:val="0"/>
          <w:sz w:val="21"/>
          <w:szCs w:val="21"/>
          <w:lang w:val="en-US" w:eastAsia="zh-CN" w:bidi="ar-SA"/>
        </w:rPr>
        <w:t>图是沈伯尘于1919年创作</w:t>
      </w:r>
      <w:r>
        <w:rPr>
          <w:rFonts w:hint="eastAsia" w:ascii="宋体" w:hAnsi="宋体" w:cs="宋体" w:eastAsiaTheme="minorEastAsia"/>
          <w:bCs/>
          <w:kern w:val="0"/>
          <w:sz w:val="21"/>
          <w:szCs w:val="21"/>
          <w:lang w:val="en-US" w:eastAsia="zh-CN" w:bidi="ar-SA"/>
        </w:rPr>
        <w:drawing>
          <wp:inline distT="0" distB="0" distL="0" distR="0">
            <wp:extent cx="133350" cy="177800"/>
            <wp:effectExtent l="0" t="0" r="6350" b="0"/>
            <wp:docPr id="1691404462" name="图片 169140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04462" name="图片 1691404462"/>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hint="eastAsia" w:ascii="宋体" w:hAnsi="宋体" w:cs="宋体" w:eastAsiaTheme="minorEastAsia"/>
          <w:bCs/>
          <w:kern w:val="0"/>
          <w:sz w:val="21"/>
          <w:szCs w:val="21"/>
          <w:lang w:val="en-US" w:eastAsia="zh-CN" w:bidi="ar-SA"/>
        </w:rPr>
        <w:t>新闻漫画。该画作旨在</w:t>
      </w:r>
    </w:p>
    <w:p>
      <w:pPr>
        <w:numPr>
          <w:numId w:val="0"/>
        </w:num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批判北洋军阀的卖国行径</w:t>
      </w:r>
      <w:r>
        <w:rPr>
          <w:rFonts w:hint="eastAsia" w:ascii="宋体" w:hAnsi="宋体" w:cs="宋体" w:eastAsiaTheme="minorEastAsia"/>
          <w:bCs/>
          <w:kern w:val="0"/>
          <w:sz w:val="21"/>
          <w:szCs w:val="21"/>
          <w:lang w:val="en-US" w:eastAsia="zh-CN" w:bidi="ar-SA"/>
        </w:rPr>
        <w:tab/>
      </w:r>
    </w:p>
    <w:p>
      <w:pPr>
        <w:numPr>
          <w:numId w:val="0"/>
        </w:num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B. 维护战后国际新秩序</w:t>
      </w:r>
    </w:p>
    <w:p>
      <w:pPr>
        <w:numPr>
          <w:numId w:val="0"/>
        </w:numPr>
        <w:tabs>
          <w:tab w:val="left" w:pos="4873"/>
        </w:tabs>
        <w:spacing w:line="338" w:lineRule="exact"/>
        <w:ind w:leftChars="0"/>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抨击巴黎和会的强权政治</w:t>
      </w:r>
      <w:r>
        <w:rPr>
          <w:rFonts w:hint="eastAsia" w:ascii="宋体" w:hAnsi="宋体" w:cs="宋体" w:eastAsiaTheme="minorEastAsia"/>
          <w:bCs/>
          <w:kern w:val="0"/>
          <w:sz w:val="21"/>
          <w:szCs w:val="21"/>
          <w:lang w:val="en-US" w:eastAsia="zh-CN" w:bidi="ar-SA"/>
        </w:rPr>
        <w:tab/>
      </w:r>
    </w:p>
    <w:p>
      <w:pPr>
        <w:numPr>
          <w:numId w:val="0"/>
        </w:numPr>
        <w:tabs>
          <w:tab w:val="left" w:pos="4873"/>
        </w:tabs>
        <w:spacing w:line="338" w:lineRule="exact"/>
        <w:ind w:leftChars="0"/>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D. 推动五四运动的发展</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8. 1952年，湖南掀起了领导农民以集体的力量向各种自然灾害作斗争的丰产运动。由于农民觉悟的提高，捕蝗、积肥、选种、评比等运动在全国蓬勃展开，许多翻身农民发明和改良农业生产工具，有力地推动了大生产运动。此类运动的开展</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助力国民经济全面恢复</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B. 根植于农业的社会主义改造</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有利于国家工业化建设</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D. 彰显了社会主义制度优越性</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9. 在1961—1962年的第二次日内瓦会议期间，中国既实现了维持老挝中立并为巴特寮革命赢取了时间，同时也缓和了与法国的关系。有学者认为这是中国寻求与中间地带国家改善关系的“一次重要亮相”。这次“亮相”</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解决了印度支那问题</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B. 推动了中国三线建设</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促成了中法正式建交</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D. 缓解了中国外交困境</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drawing>
          <wp:anchor distT="0" distB="0" distL="114300" distR="114300" simplePos="0" relativeHeight="251661312" behindDoc="0" locked="0" layoutInCell="1" allowOverlap="1">
            <wp:simplePos x="0" y="0"/>
            <wp:positionH relativeFrom="column">
              <wp:posOffset>2400300</wp:posOffset>
            </wp:positionH>
            <wp:positionV relativeFrom="paragraph">
              <wp:posOffset>75565</wp:posOffset>
            </wp:positionV>
            <wp:extent cx="3780155" cy="1363980"/>
            <wp:effectExtent l="0" t="0" r="4445" b="7620"/>
            <wp:wrapSquare wrapText="bothSides"/>
            <wp:docPr id="316550911" name="图片 3165509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50911" name="图片 316550911" descr="学科网(www.zxxk.com)--教育资源门户，提供试卷、教案、课件、论文、素材以及各类教学资源下载，还有大量而丰富的教学相关资讯！"/>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80000" cy="1363980"/>
                    </a:xfrm>
                    <a:prstGeom prst="rect">
                      <a:avLst/>
                    </a:prstGeom>
                  </pic:spPr>
                </pic:pic>
              </a:graphicData>
            </a:graphic>
          </wp:anchor>
        </w:drawing>
      </w:r>
      <w:r>
        <w:rPr>
          <w:rFonts w:hint="eastAsia" w:ascii="宋体" w:hAnsi="宋体" w:cs="宋体" w:eastAsiaTheme="minorEastAsia"/>
          <w:bCs/>
          <w:kern w:val="0"/>
          <w:sz w:val="21"/>
          <w:szCs w:val="21"/>
          <w:lang w:val="en-US" w:eastAsia="zh-CN" w:bidi="ar-SA"/>
        </w:rPr>
        <w:t xml:space="preserve">10. </w:t>
      </w:r>
      <w:r>
        <w:rPr>
          <w:rFonts w:hint="eastAsia" w:ascii="宋体" w:hAnsi="宋体" w:cs="宋体"/>
          <w:bCs/>
          <w:kern w:val="0"/>
          <w:sz w:val="21"/>
          <w:szCs w:val="21"/>
          <w:lang w:val="en-US" w:eastAsia="zh-CN" w:bidi="ar-SA"/>
        </w:rPr>
        <w:t>右</w:t>
      </w:r>
      <w:r>
        <w:rPr>
          <w:rFonts w:hint="eastAsia" w:ascii="宋体" w:hAnsi="宋体" w:cs="宋体" w:eastAsiaTheme="minorEastAsia"/>
          <w:bCs/>
          <w:kern w:val="0"/>
          <w:sz w:val="21"/>
          <w:szCs w:val="21"/>
          <w:lang w:val="en-US" w:eastAsia="zh-CN" w:bidi="ar-SA"/>
        </w:rPr>
        <w:t>图为1981—1986年中国工业发展年增长率（%）统计示意图，导致这一变化的主要原因是</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社会主义市场体制的建立</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B. 中国加入世界贸易组织</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城乡经济发展不平衡加剧</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D. 经济体制改革逐步推进</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11. 在雅典陪审法庭开庭时，贪污公款的官员向陪审员鞠躬，可怜地恳求说“怜悯我吧，我求求你”；在法庭辩论的过程中，有人感叹自己穷苦，有人把孩子带到现场……最后这些人往往赢得了官司，这种判决在雅典十分常见。这反映出古代雅典</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陪审法庭是最高权力机关</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B. 贪污腐败现象普遍</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公民与权贵之间矛盾激化</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D. 民主制度存在缺陷</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12. 法国圣昆坦市曾规定：农奴一旦进入该市，立即成为自由人……可免除各种封建义务。英国泰恩河上的新城曾规定：农奴在城内住满一年零一天，那他以后就是一个市民。类似规定曾广泛被其他许多市镇仿效过。这些规定</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旨在加强世俗王权</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B. 瓦解了庄园与农奴制度</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凸显了城市自治权</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D. 削弱了基督教会的权力</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13. 18世纪末以前，人们一直把国家与君主本人混为一谈。如路德认为“主教们和诸侯们”构成了德国，路易十四则声称法兰西国家“完全属于国王本人”。之后，国家不再是国王、国王的领土和国王的臣民，而是由公民组成。这一观念的变化</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引发了欧洲宗教改革运动</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B. 源于法国大革命的推动</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确立国家主权与独立原则</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D. 有利于民族国家的建构</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14. 洛克纳因允许雇员一周工作60小时以上被控违反纽约州议会通过的《面包坊法案》，在纽约三级法院均败诉的情况下，上诉到联邦最高法院。最终，大法官以“对面包坊工人工作时间的限制不在州治安权限之内”为由判定该法案违宪。该案件的处理过程体现了</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美国司法权的独立</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B. 司法实践程序的正当性</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大陆法系逐渐完善</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D. 宪法保障人权的局限性</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15. 20世纪八九十年代英国颁布法律明确规定，地方政府不再直接提供公共服务，并把医院管理、社区服务、社会治安和教育等交给相关公司承担。这一法规的施行有利于</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社区成为一级地方政府</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B. 国家管理职能的扩展</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社会福利制度初步建立</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D. 基层治理方式的变革</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16. 下表规定的计算比例表明，苏联的社会保障制度</w:t>
      </w:r>
    </w:p>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表</w:t>
      </w:r>
      <w:r>
        <w:rPr>
          <w:rFonts w:hint="eastAsia" w:ascii="宋体" w:hAnsi="宋体" w:cs="宋体"/>
          <w:bCs/>
          <w:kern w:val="0"/>
          <w:sz w:val="21"/>
          <w:szCs w:val="21"/>
          <w:lang w:val="en-US" w:eastAsia="zh-CN" w:bidi="ar-SA"/>
        </w:rPr>
        <w:t xml:space="preserve">  </w:t>
      </w:r>
      <w:r>
        <w:rPr>
          <w:rFonts w:hint="eastAsia" w:ascii="宋体" w:hAnsi="宋体" w:cs="宋体" w:eastAsiaTheme="minorEastAsia"/>
          <w:bCs/>
          <w:kern w:val="0"/>
          <w:sz w:val="21"/>
          <w:szCs w:val="21"/>
          <w:lang w:val="en-US" w:eastAsia="zh-CN" w:bidi="ar-SA"/>
        </w:rPr>
        <w:t>工人职员养老金的计算比例</w:t>
      </w:r>
    </w:p>
    <w:tbl>
      <w:tblPr>
        <w:tblStyle w:val="9"/>
        <w:tblW w:w="10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77"/>
        <w:gridCol w:w="1292"/>
        <w:gridCol w:w="1685"/>
        <w:gridCol w:w="2551"/>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77"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月工资（卢布）</w:t>
            </w:r>
          </w:p>
        </w:tc>
        <w:tc>
          <w:tcPr>
            <w:tcW w:w="8363" w:type="dxa"/>
            <w:gridSpan w:val="4"/>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养老金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77" w:type="dxa"/>
            <w:vMerge w:val="continue"/>
            <w:tcBorders>
              <w:top w:val="single" w:color="000000" w:sz="6" w:space="0"/>
              <w:left w:val="single" w:color="000000" w:sz="6" w:space="0"/>
              <w:bottom w:val="single" w:color="000000" w:sz="6" w:space="0"/>
              <w:right w:val="single" w:color="000000" w:sz="6" w:space="0"/>
            </w:tcBorders>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p>
        </w:tc>
        <w:tc>
          <w:tcPr>
            <w:tcW w:w="2977"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一般工种的工人和职员</w:t>
            </w:r>
          </w:p>
        </w:tc>
        <w:tc>
          <w:tcPr>
            <w:tcW w:w="5386"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在地下、高温车间、有害健康条件下工作的工人和职员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51" w:hRule="atLeast"/>
        </w:trPr>
        <w:tc>
          <w:tcPr>
            <w:tcW w:w="1977" w:type="dxa"/>
            <w:vMerge w:val="continue"/>
            <w:tcBorders>
              <w:top w:val="single" w:color="000000" w:sz="6" w:space="0"/>
              <w:left w:val="single" w:color="000000" w:sz="6" w:space="0"/>
              <w:bottom w:val="single" w:color="000000" w:sz="6" w:space="0"/>
              <w:right w:val="single" w:color="000000" w:sz="6" w:space="0"/>
            </w:tcBorders>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p>
        </w:tc>
        <w:tc>
          <w:tcPr>
            <w:tcW w:w="12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工资百分比</w:t>
            </w:r>
          </w:p>
        </w:tc>
        <w:tc>
          <w:tcPr>
            <w:tcW w:w="1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不包括补贴的养老金最低额</w:t>
            </w:r>
          </w:p>
        </w:tc>
        <w:tc>
          <w:tcPr>
            <w:tcW w:w="25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工资的百分比</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不包括补贴的养老金最低额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35以下（含35）</w:t>
            </w:r>
          </w:p>
        </w:tc>
        <w:tc>
          <w:tcPr>
            <w:tcW w:w="12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100</w:t>
            </w:r>
          </w:p>
        </w:tc>
        <w:tc>
          <w:tcPr>
            <w:tcW w:w="1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30</w:t>
            </w:r>
          </w:p>
        </w:tc>
        <w:tc>
          <w:tcPr>
            <w:tcW w:w="25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100</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35—50（含50）</w:t>
            </w:r>
          </w:p>
        </w:tc>
        <w:tc>
          <w:tcPr>
            <w:tcW w:w="12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85</w:t>
            </w:r>
          </w:p>
        </w:tc>
        <w:tc>
          <w:tcPr>
            <w:tcW w:w="1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35</w:t>
            </w:r>
          </w:p>
        </w:tc>
        <w:tc>
          <w:tcPr>
            <w:tcW w:w="25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90</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50—60（含60）</w:t>
            </w:r>
          </w:p>
        </w:tc>
        <w:tc>
          <w:tcPr>
            <w:tcW w:w="12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75</w:t>
            </w:r>
          </w:p>
        </w:tc>
        <w:tc>
          <w:tcPr>
            <w:tcW w:w="1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42.5</w:t>
            </w:r>
          </w:p>
        </w:tc>
        <w:tc>
          <w:tcPr>
            <w:tcW w:w="25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80</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60—80（含80）</w:t>
            </w:r>
          </w:p>
        </w:tc>
        <w:tc>
          <w:tcPr>
            <w:tcW w:w="12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65</w:t>
            </w:r>
          </w:p>
        </w:tc>
        <w:tc>
          <w:tcPr>
            <w:tcW w:w="1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45</w:t>
            </w:r>
          </w:p>
        </w:tc>
        <w:tc>
          <w:tcPr>
            <w:tcW w:w="25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70</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80—100（含100）</w:t>
            </w:r>
          </w:p>
        </w:tc>
        <w:tc>
          <w:tcPr>
            <w:tcW w:w="12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55</w:t>
            </w:r>
          </w:p>
        </w:tc>
        <w:tc>
          <w:tcPr>
            <w:tcW w:w="1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52</w:t>
            </w:r>
          </w:p>
        </w:tc>
        <w:tc>
          <w:tcPr>
            <w:tcW w:w="25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60</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100以上</w:t>
            </w:r>
          </w:p>
        </w:tc>
        <w:tc>
          <w:tcPr>
            <w:tcW w:w="12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50</w:t>
            </w:r>
          </w:p>
        </w:tc>
        <w:tc>
          <w:tcPr>
            <w:tcW w:w="1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55</w:t>
            </w:r>
          </w:p>
        </w:tc>
        <w:tc>
          <w:tcPr>
            <w:tcW w:w="25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55</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tabs>
                <w:tab w:val="left" w:pos="4873"/>
              </w:tabs>
              <w:spacing w:line="338" w:lineRule="exact"/>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60</w:t>
            </w:r>
          </w:p>
        </w:tc>
      </w:tr>
    </w:tbl>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坚持实行国家保障</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B. 旨在缩减社会福利</w:t>
      </w:r>
    </w:p>
    <w:p>
      <w:pPr>
        <w:tabs>
          <w:tab w:val="left" w:pos="4873"/>
        </w:tabs>
        <w:spacing w:line="338" w:lineRule="exac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实行全民社会保险</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D. 利于缩小收入差距</w:t>
      </w:r>
    </w:p>
    <w:p>
      <w:pPr>
        <w:numPr>
          <w:ilvl w:val="0"/>
          <w:numId w:val="0"/>
        </w:numPr>
        <w:tabs>
          <w:tab w:val="left" w:pos="4620"/>
        </w:tabs>
        <w:snapToGrid w:val="0"/>
        <w:rPr>
          <w:rFonts w:hint="eastAsia" w:cs="宋体" w:asciiTheme="minorEastAsia" w:hAnsiTheme="minorEastAsia"/>
          <w:b/>
          <w:bCs/>
          <w:color w:val="000000" w:themeColor="text1"/>
          <w:szCs w:val="21"/>
          <w:lang w:val="en-US" w:eastAsia="zh-CN"/>
          <w14:textFill>
            <w14:solidFill>
              <w14:schemeClr w14:val="tx1"/>
            </w14:solidFill>
          </w14:textFill>
        </w:rPr>
      </w:pPr>
    </w:p>
    <w:p>
      <w:pPr>
        <w:numPr>
          <w:ilvl w:val="0"/>
          <w:numId w:val="0"/>
        </w:numPr>
        <w:tabs>
          <w:tab w:val="left" w:pos="4620"/>
        </w:tabs>
        <w:snapToGrid w:val="0"/>
        <w:rPr>
          <w:rFonts w:hint="eastAsia" w:ascii="宋体" w:hAnsi="宋体" w:cs="宋体"/>
          <w:bCs/>
          <w:kern w:val="0"/>
          <w:szCs w:val="21"/>
          <w:lang w:val="en-US" w:eastAsia="zh-CN"/>
        </w:rPr>
      </w:pPr>
      <w:r>
        <w:rPr>
          <w:rFonts w:hint="eastAsia" w:cs="宋体" w:asciiTheme="minorEastAsia" w:hAnsiTheme="minorEastAsia"/>
          <w:b/>
          <w:bCs/>
          <w:color w:val="000000" w:themeColor="text1"/>
          <w:szCs w:val="21"/>
          <w:lang w:val="en-US" w:eastAsia="zh-CN"/>
          <w14:textFill>
            <w14:solidFill>
              <w14:schemeClr w14:val="tx1"/>
            </w14:solidFill>
          </w14:textFill>
        </w:rPr>
        <w:t>二、</w:t>
      </w:r>
      <w:r>
        <w:rPr>
          <w:rFonts w:hint="eastAsia" w:cs="宋体" w:asciiTheme="minorEastAsia" w:hAnsiTheme="minorEastAsia"/>
          <w:b/>
          <w:bCs/>
          <w:color w:val="000000" w:themeColor="text1"/>
          <w:szCs w:val="21"/>
          <w14:textFill>
            <w14:solidFill>
              <w14:schemeClr w14:val="tx1"/>
            </w14:solidFill>
          </w14:textFill>
        </w:rPr>
        <w:t>非选择题</w:t>
      </w:r>
    </w:p>
    <w:p>
      <w:pP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（13分）</w:t>
      </w:r>
      <w:r>
        <w:rPr>
          <w:rFonts w:hint="eastAsia" w:ascii="宋体" w:hAnsi="宋体" w:cs="宋体"/>
          <w:bCs/>
          <w:kern w:val="0"/>
          <w:sz w:val="21"/>
          <w:szCs w:val="21"/>
          <w:lang w:val="en-US" w:eastAsia="zh-CN" w:bidi="ar-SA"/>
        </w:rPr>
        <w:t>17</w:t>
      </w:r>
      <w:r>
        <w:rPr>
          <w:rFonts w:hint="eastAsia" w:ascii="宋体" w:hAnsi="宋体" w:cs="宋体" w:eastAsiaTheme="minorEastAsia"/>
          <w:bCs/>
          <w:kern w:val="0"/>
          <w:sz w:val="21"/>
          <w:szCs w:val="21"/>
          <w:lang w:val="en-US" w:eastAsia="zh-CN" w:bidi="ar-SA"/>
        </w:rPr>
        <w:t>．阅读材料，完成下列要求。</w:t>
      </w:r>
    </w:p>
    <w:p>
      <w:pP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材料  19世纪初期，以斯宾汉姆制度为代表的济贫制度非但未能有效地应对英国社会的贫困问题，反而导致一系列新的社会问题，成为社会舆论批评的焦点。1832年，英国成立皇家济贫法委员会，对英格兰和威尔士约1.5万个教区和城镇中的3000个教区进行有关济贫法制度实施状况的调查，最终形成长达7卷的调查报告。报告主张废除院外救济，实行济贫院内救济，指出一切救济必须经过济贫院。住在济贫院里的人没有得到管理人员的批准不得外出，不准他们喝酒、抽烟，使他们尽力劳动;使救济金管理人员都成为最严厉的工头。在此基础上，1834年，英国颁布了“新济贫法”。与此同时，新济贫法的救济原则在英国全国范围内引发了一场大规模的反对运动。这与后来爆发的宪章运动结合在一起，对19世纪英国社会政治产生了重要影响。</w:t>
      </w:r>
      <w:r>
        <w:rPr>
          <w:rFonts w:hint="eastAsia" w:ascii="宋体" w:hAnsi="宋体" w:cs="宋体"/>
          <w:bCs/>
          <w:kern w:val="0"/>
          <w:sz w:val="21"/>
          <w:szCs w:val="21"/>
          <w:lang w:val="en-US" w:eastAsia="zh-CN" w:bidi="ar-SA"/>
        </w:rPr>
        <w:t xml:space="preserve">                      </w:t>
      </w:r>
      <w:r>
        <w:rPr>
          <w:rFonts w:hint="eastAsia" w:ascii="宋体" w:hAnsi="宋体" w:cs="宋体" w:eastAsiaTheme="minorEastAsia"/>
          <w:bCs/>
          <w:kern w:val="0"/>
          <w:sz w:val="21"/>
          <w:szCs w:val="21"/>
          <w:lang w:val="en-US" w:eastAsia="zh-CN" w:bidi="ar-SA"/>
        </w:rPr>
        <w:t>——摘编自丁建定《英国新济贫法的出现及反新济贫法运动》</w:t>
      </w:r>
    </w:p>
    <w:p>
      <w:pP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（1）据材料并结合所学知识，概括英国新济贫法出现的背景。(6分)</w:t>
      </w:r>
    </w:p>
    <w:p>
      <w:pPr>
        <w:textAlignment w:val="center"/>
        <w:rPr>
          <w:rFonts w:hint="eastAsia" w:ascii="宋体" w:hAnsi="宋体" w:cs="宋体" w:eastAsiaTheme="minorEastAsia"/>
          <w:bCs/>
          <w:kern w:val="0"/>
          <w:sz w:val="21"/>
          <w:szCs w:val="21"/>
          <w:lang w:val="en-US" w:eastAsia="zh-CN" w:bidi="ar-SA"/>
        </w:rPr>
      </w:pPr>
    </w:p>
    <w:p>
      <w:pPr>
        <w:textAlignment w:val="center"/>
        <w:rPr>
          <w:rFonts w:hint="eastAsia" w:ascii="宋体" w:hAnsi="宋体" w:cs="宋体" w:eastAsiaTheme="minorEastAsia"/>
          <w:bCs/>
          <w:kern w:val="0"/>
          <w:sz w:val="21"/>
          <w:szCs w:val="21"/>
          <w:lang w:val="en-US" w:eastAsia="zh-CN" w:bidi="ar-SA"/>
        </w:rPr>
      </w:pPr>
    </w:p>
    <w:p>
      <w:pPr>
        <w:textAlignment w:val="center"/>
        <w:rPr>
          <w:rFonts w:hint="eastAsia" w:ascii="宋体" w:hAnsi="宋体" w:cs="宋体" w:eastAsiaTheme="minorEastAsia"/>
          <w:bCs/>
          <w:kern w:val="0"/>
          <w:sz w:val="21"/>
          <w:szCs w:val="21"/>
          <w:lang w:val="en-US" w:eastAsia="zh-CN" w:bidi="ar-SA"/>
        </w:rPr>
      </w:pPr>
    </w:p>
    <w:p>
      <w:pP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（2）据材料并结合所学知识，简要评价英国新济贫法。(7分)</w:t>
      </w:r>
    </w:p>
    <w:p>
      <w:pPr>
        <w:pStyle w:val="24"/>
        <w:rPr>
          <w:rFonts w:hint="eastAsia" w:ascii="宋体" w:hAnsi="宋体" w:cs="宋体" w:eastAsiaTheme="minorEastAsia"/>
          <w:bCs/>
          <w:kern w:val="0"/>
          <w:sz w:val="21"/>
          <w:szCs w:val="21"/>
          <w:lang w:val="en-US" w:eastAsia="zh-CN" w:bidi="ar-SA"/>
        </w:rPr>
      </w:pPr>
    </w:p>
    <w:p>
      <w:pPr>
        <w:pStyle w:val="24"/>
        <w:rPr>
          <w:rFonts w:hint="eastAsia" w:ascii="宋体" w:hAnsi="宋体" w:cs="宋体" w:eastAsiaTheme="minorEastAsia"/>
          <w:bCs/>
          <w:kern w:val="0"/>
          <w:sz w:val="21"/>
          <w:szCs w:val="21"/>
          <w:lang w:val="en-US" w:eastAsia="zh-CN" w:bidi="ar-SA"/>
        </w:rPr>
      </w:pPr>
    </w:p>
    <w:p>
      <w:pPr>
        <w:pStyle w:val="24"/>
        <w:rPr>
          <w:rFonts w:hint="eastAsia" w:ascii="宋体" w:hAnsi="宋体" w:cs="宋体" w:eastAsiaTheme="minorEastAsia"/>
          <w:bCs/>
          <w:kern w:val="0"/>
          <w:sz w:val="21"/>
          <w:szCs w:val="21"/>
          <w:lang w:val="en-US" w:eastAsia="zh-CN" w:bidi="ar-SA"/>
        </w:rPr>
      </w:pPr>
      <w:bookmarkStart w:id="0" w:name="_GoBack"/>
      <w:bookmarkEnd w:id="0"/>
    </w:p>
    <w:p>
      <w:pPr>
        <w:pStyle w:val="24"/>
        <w:rPr>
          <w:rFonts w:hint="eastAsia" w:ascii="宋体" w:hAnsi="宋体" w:cs="宋体" w:eastAsiaTheme="minorEastAsia"/>
          <w:bCs/>
          <w:kern w:val="0"/>
          <w:sz w:val="21"/>
          <w:szCs w:val="21"/>
          <w:lang w:val="en-US" w:eastAsia="zh-CN" w:bidi="ar-SA"/>
        </w:rPr>
      </w:pPr>
    </w:p>
    <w:p>
      <w:pPr>
        <w:pStyle w:val="24"/>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w:t>
      </w:r>
      <w:r>
        <w:rPr>
          <w:rFonts w:hint="eastAsia" w:cs="宋体"/>
          <w:bCs/>
          <w:kern w:val="0"/>
          <w:sz w:val="21"/>
          <w:szCs w:val="21"/>
          <w:lang w:val="en-US" w:eastAsia="zh-CN" w:bidi="ar-SA"/>
        </w:rPr>
        <w:t>3</w:t>
      </w:r>
      <w:r>
        <w:rPr>
          <w:rFonts w:hint="eastAsia" w:ascii="宋体" w:hAnsi="宋体" w:cs="宋体" w:eastAsiaTheme="minorEastAsia"/>
          <w:bCs/>
          <w:kern w:val="0"/>
          <w:sz w:val="21"/>
          <w:szCs w:val="21"/>
          <w:lang w:val="en-US" w:eastAsia="zh-CN" w:bidi="ar-SA"/>
        </w:rPr>
        <w:t>分）</w:t>
      </w:r>
      <w:r>
        <w:rPr>
          <w:rFonts w:hint="eastAsia" w:cs="宋体"/>
          <w:bCs/>
          <w:kern w:val="0"/>
          <w:sz w:val="21"/>
          <w:szCs w:val="21"/>
          <w:lang w:val="en-US" w:eastAsia="zh-CN" w:bidi="ar-SA"/>
        </w:rPr>
        <w:t>17</w:t>
      </w:r>
      <w:r>
        <w:rPr>
          <w:rFonts w:hint="eastAsia" w:ascii="宋体" w:hAnsi="宋体" w:cs="宋体" w:eastAsiaTheme="minorEastAsia"/>
          <w:bCs/>
          <w:kern w:val="0"/>
          <w:sz w:val="21"/>
          <w:szCs w:val="21"/>
          <w:lang w:val="en-US" w:eastAsia="zh-CN" w:bidi="ar-SA"/>
        </w:rPr>
        <w:t>．漕运是古代通过水路向都城或其它指定地点大规模输送粮草的一种经济活动。阅读材料，</w:t>
      </w:r>
      <w:r>
        <w:rPr>
          <w:rFonts w:hint="eastAsia" w:cs="宋体"/>
          <w:bCs/>
          <w:kern w:val="0"/>
          <w:sz w:val="21"/>
          <w:szCs w:val="21"/>
          <w:lang w:val="en-US" w:eastAsia="zh-CN" w:bidi="ar-SA"/>
        </w:rPr>
        <w:t>完成下列要求</w:t>
      </w:r>
      <w:r>
        <w:rPr>
          <w:rFonts w:hint="eastAsia" w:ascii="宋体" w:hAnsi="宋体" w:cs="宋体" w:eastAsiaTheme="minorEastAsia"/>
          <w:bCs/>
          <w:kern w:val="0"/>
          <w:sz w:val="21"/>
          <w:szCs w:val="21"/>
          <w:lang w:val="en-US" w:eastAsia="zh-CN" w:bidi="ar-SA"/>
        </w:rPr>
        <w:t>。</w:t>
      </w:r>
    </w:p>
    <w:p>
      <w:pP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材料一  </w:t>
      </w:r>
    </w:p>
    <w:p>
      <w:pPr>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drawing>
          <wp:inline distT="0" distB="0" distL="0" distR="0">
            <wp:extent cx="4495800" cy="2220595"/>
            <wp:effectExtent l="0" t="0" r="0" b="1905"/>
            <wp:docPr id="100007" name="图片 100007" descr="学科网(www.zxxk.com)--教育资源门户，提供试卷、教案、课件、论文、素材以及各类教学资源下载，还有大量而丰富的教学相关资讯！ p6Gy2GGnB4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6Gy2GGnB47NAx1ODbqMbQ=="/>
                    <pic:cNvPicPr>
                      <a:picLocks noChangeAspect="1"/>
                    </pic:cNvPicPr>
                  </pic:nvPicPr>
                  <pic:blipFill>
                    <a:blip r:embed="rId9"/>
                    <a:stretch>
                      <a:fillRect/>
                    </a:stretch>
                  </pic:blipFill>
                  <pic:spPr>
                    <a:xfrm>
                      <a:off x="0" y="0"/>
                      <a:ext cx="4500432" cy="2220595"/>
                    </a:xfrm>
                    <a:prstGeom prst="rect">
                      <a:avLst/>
                    </a:prstGeom>
                  </pic:spPr>
                </pic:pic>
              </a:graphicData>
            </a:graphic>
          </wp:inline>
        </w:drawing>
      </w:r>
    </w:p>
    <w:p>
      <w:pPr>
        <w:textAlignment w:val="center"/>
        <w:rPr>
          <w:rFonts w:hint="eastAsia" w:ascii="宋体" w:hAnsi="宋体" w:cs="宋体" w:eastAsiaTheme="minorEastAsia"/>
          <w:bCs/>
          <w:kern w:val="0"/>
          <w:sz w:val="21"/>
          <w:szCs w:val="21"/>
          <w:lang w:val="en-US" w:eastAsia="zh-CN" w:bidi="ar-SA"/>
        </w:rPr>
      </w:pPr>
    </w:p>
    <w:p>
      <w:pPr>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drawing>
          <wp:inline distT="0" distB="0" distL="0" distR="0">
            <wp:extent cx="4539615" cy="2105660"/>
            <wp:effectExtent l="0" t="0" r="6985" b="2540"/>
            <wp:docPr id="100009" name="图片 100009" descr="学科网(www.zxxk.com)--教育资源门户，提供试卷、教案、课件、论文、素材以及各类教学资源下载，还有大量而丰富的教学相关资讯！ p6Gy2GGnB4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6Gy2GGnB47NAx1ODbqMbQ=="/>
                    <pic:cNvPicPr>
                      <a:picLocks noChangeAspect="1"/>
                    </pic:cNvPicPr>
                  </pic:nvPicPr>
                  <pic:blipFill>
                    <a:blip r:embed="rId10"/>
                    <a:stretch>
                      <a:fillRect/>
                    </a:stretch>
                  </pic:blipFill>
                  <pic:spPr>
                    <a:xfrm>
                      <a:off x="0" y="0"/>
                      <a:ext cx="4539938" cy="2105660"/>
                    </a:xfrm>
                    <a:prstGeom prst="rect">
                      <a:avLst/>
                    </a:prstGeom>
                  </pic:spPr>
                </pic:pic>
              </a:graphicData>
            </a:graphic>
          </wp:inline>
        </w:drawing>
      </w:r>
    </w:p>
    <w:p>
      <w:pPr>
        <w:textAlignment w:val="center"/>
        <w:rPr>
          <w:rFonts w:hint="eastAsia" w:ascii="宋体" w:hAnsi="宋体" w:cs="宋体" w:eastAsiaTheme="minorEastAsia"/>
          <w:bCs/>
          <w:kern w:val="0"/>
          <w:sz w:val="21"/>
          <w:szCs w:val="21"/>
          <w:lang w:val="en-US" w:eastAsia="zh-CN" w:bidi="ar-SA"/>
        </w:rPr>
      </w:pPr>
    </w:p>
    <w:p>
      <w:pPr>
        <w:jc w:val="cente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drawing>
          <wp:inline distT="0" distB="0" distL="0" distR="0">
            <wp:extent cx="4400550" cy="2517775"/>
            <wp:effectExtent l="0" t="0" r="6350" b="9525"/>
            <wp:docPr id="100011" name="图片 100011" descr="学科网(www.zxxk.com)--教育资源门户，提供试卷、教案、课件、论文、素材以及各类教学资源下载，还有大量而丰富的教学相关资讯！ p6Gy2GGnB4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6Gy2GGnB47NAx1ODbqMbQ=="/>
                    <pic:cNvPicPr>
                      <a:picLocks noChangeAspect="1"/>
                    </pic:cNvPicPr>
                  </pic:nvPicPr>
                  <pic:blipFill>
                    <a:blip r:embed="rId11"/>
                    <a:stretch>
                      <a:fillRect/>
                    </a:stretch>
                  </pic:blipFill>
                  <pic:spPr>
                    <a:xfrm>
                      <a:off x="0" y="0"/>
                      <a:ext cx="4413649" cy="2517775"/>
                    </a:xfrm>
                    <a:prstGeom prst="rect">
                      <a:avLst/>
                    </a:prstGeom>
                  </pic:spPr>
                </pic:pic>
              </a:graphicData>
            </a:graphic>
          </wp:inline>
        </w:drawing>
      </w:r>
    </w:p>
    <w:p>
      <w:pP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材料二</w:t>
      </w:r>
      <w:r>
        <w:rPr>
          <w:rFonts w:hint="eastAsia" w:ascii="宋体" w:hAnsi="宋体" w:cs="宋体"/>
          <w:bCs/>
          <w:kern w:val="0"/>
          <w:sz w:val="21"/>
          <w:szCs w:val="21"/>
          <w:lang w:val="en-US" w:eastAsia="zh-CN" w:bidi="ar-SA"/>
        </w:rPr>
        <w:t xml:space="preserve">  </w:t>
      </w:r>
      <w:r>
        <w:rPr>
          <w:rFonts w:hint="eastAsia" w:ascii="宋体" w:hAnsi="宋体" w:cs="宋体" w:eastAsiaTheme="minorEastAsia"/>
          <w:bCs/>
          <w:kern w:val="0"/>
          <w:sz w:val="21"/>
          <w:szCs w:val="21"/>
          <w:lang w:val="en-US" w:eastAsia="zh-CN" w:bidi="ar-SA"/>
        </w:rPr>
        <w:t>宋代漕运发运司平常时间在丰收的地区籴米储备，当某地因灾歉不能完成漕额或逾期未交，发运司便以所储之粮代为上供。尔后，将代发漕粮折算为钱，由被代地区上交。清代，朝廷不断上调漕船附载土宜的额度，对于回空南下的漕船也规定了具体附载物及其数量，过关免税。</w:t>
      </w:r>
    </w:p>
    <w:p>
      <w:pPr>
        <w:keepNext w:val="0"/>
        <w:keepLines w:val="0"/>
        <w:pageBreakBefore w:val="0"/>
        <w:widowControl w:val="0"/>
        <w:kinsoku/>
        <w:wordWrap/>
        <w:overflowPunct/>
        <w:topLinePunct w:val="0"/>
        <w:autoSpaceDE/>
        <w:autoSpaceDN/>
        <w:bidi w:val="0"/>
        <w:adjustRightInd/>
        <w:snapToGrid/>
        <w:ind w:firstLine="420" w:firstLineChars="200"/>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漕运体系构成了封建王朝的生命支持与动力供应系统，有供都城消费的“京师之运”，供战争之需的“兵营之运”，供赈灾济荒的“赈济之运”。当南漕北运的格局形成之后，各王朝首先都没有考虑通过海运的形式来完成赋税的运输。漕运基本上始终是实物赋税的形式，由于漕运而流通的物质数量十分庞大，尤其是粮食，由于漕粮的持续供应，围绕都城巨额的粮食消费并未促成巨大粮食市场的形成。</w:t>
      </w:r>
    </w:p>
    <w:p>
      <w:pPr>
        <w:ind w:firstLine="3990" w:firstLineChars="1900"/>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——摘编自吴琦《南漕北运：中国古代漕运转向及其意义》等</w:t>
      </w:r>
    </w:p>
    <w:p>
      <w:pP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（1）根据材料一并结合所学知识，对西汉、唐朝、明朝三个时期的漕运线路方向作出合理解释。（7分）</w:t>
      </w:r>
    </w:p>
    <w:p>
      <w:pPr>
        <w:textAlignment w:val="center"/>
        <w:rPr>
          <w:rFonts w:hint="eastAsia" w:ascii="宋体" w:hAnsi="宋体" w:cs="宋体" w:eastAsiaTheme="minorEastAsia"/>
          <w:bCs/>
          <w:kern w:val="0"/>
          <w:sz w:val="21"/>
          <w:szCs w:val="21"/>
          <w:lang w:val="en-US" w:eastAsia="zh-CN" w:bidi="ar-SA"/>
        </w:rPr>
      </w:pPr>
    </w:p>
    <w:p>
      <w:pPr>
        <w:textAlignment w:val="center"/>
        <w:rPr>
          <w:rFonts w:hint="eastAsia" w:ascii="宋体" w:hAnsi="宋体" w:cs="宋体" w:eastAsiaTheme="minorEastAsia"/>
          <w:bCs/>
          <w:kern w:val="0"/>
          <w:sz w:val="21"/>
          <w:szCs w:val="21"/>
          <w:lang w:val="en-US" w:eastAsia="zh-CN" w:bidi="ar-SA"/>
        </w:rPr>
      </w:pPr>
    </w:p>
    <w:p>
      <w:pPr>
        <w:textAlignment w:val="center"/>
        <w:rPr>
          <w:rFonts w:hint="eastAsia" w:ascii="宋体" w:hAnsi="宋体" w:cs="宋体" w:eastAsiaTheme="minorEastAsia"/>
          <w:bCs/>
          <w:kern w:val="0"/>
          <w:sz w:val="21"/>
          <w:szCs w:val="21"/>
          <w:lang w:val="en-US" w:eastAsia="zh-CN" w:bidi="ar-SA"/>
        </w:rPr>
      </w:pPr>
    </w:p>
    <w:p>
      <w:pPr>
        <w:textAlignment w:val="center"/>
        <w:rPr>
          <w:rFonts w:hint="eastAsia" w:ascii="宋体" w:hAnsi="宋体" w:cs="宋体" w:eastAsiaTheme="minorEastAsia"/>
          <w:bCs/>
          <w:kern w:val="0"/>
          <w:sz w:val="21"/>
          <w:szCs w:val="21"/>
          <w:lang w:val="en-US" w:eastAsia="zh-CN" w:bidi="ar-SA"/>
        </w:rPr>
      </w:pPr>
    </w:p>
    <w:p>
      <w:pPr>
        <w:textAlignment w:val="center"/>
        <w:rPr>
          <w:rFonts w:hint="eastAsia" w:ascii="宋体" w:hAnsi="宋体" w:cs="宋体" w:eastAsiaTheme="minorEastAsia"/>
          <w:bCs/>
          <w:kern w:val="0"/>
          <w:sz w:val="21"/>
          <w:szCs w:val="21"/>
          <w:lang w:val="en-US" w:eastAsia="zh-CN" w:bidi="ar-SA"/>
        </w:rPr>
      </w:pPr>
    </w:p>
    <w:p>
      <w:pP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（2）根据材料一、二并结合所学知识，简评中国古代漕运的影响。（6分）</w:t>
      </w:r>
    </w:p>
    <w:p>
      <w:pPr>
        <w:textAlignment w:val="center"/>
        <w:rPr>
          <w:rFonts w:hint="eastAsia" w:ascii="宋体" w:hAnsi="宋体" w:cs="宋体" w:eastAsiaTheme="minorEastAsia"/>
          <w:bCs/>
          <w:kern w:val="0"/>
          <w:sz w:val="21"/>
          <w:szCs w:val="21"/>
          <w:lang w:val="en-US" w:eastAsia="zh-CN" w:bidi="ar-SA"/>
        </w:rPr>
      </w:pPr>
    </w:p>
    <w:p>
      <w:pPr>
        <w:textAlignment w:val="center"/>
        <w:rPr>
          <w:rFonts w:hint="eastAsia" w:ascii="宋体" w:hAnsi="宋体" w:cs="宋体" w:eastAsiaTheme="minorEastAsia"/>
          <w:bCs/>
          <w:kern w:val="0"/>
          <w:sz w:val="21"/>
          <w:szCs w:val="21"/>
          <w:lang w:val="en-US" w:eastAsia="zh-CN" w:bidi="ar-SA"/>
        </w:rPr>
      </w:pPr>
    </w:p>
    <w:p>
      <w:pPr>
        <w:textAlignment w:val="center"/>
        <w:rPr>
          <w:rFonts w:hint="eastAsia" w:ascii="宋体" w:hAnsi="宋体" w:cs="宋体" w:eastAsiaTheme="minorEastAsia"/>
          <w:bCs/>
          <w:kern w:val="0"/>
          <w:sz w:val="21"/>
          <w:szCs w:val="21"/>
          <w:lang w:val="en-US" w:eastAsia="zh-CN" w:bidi="ar-SA"/>
        </w:rPr>
      </w:pP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KaiTi_GB2312">
    <w:altName w:val="楷体"/>
    <w:panose1 w:val="02010609060101010101"/>
    <w:charset w:val="86"/>
    <w:family w:val="modern"/>
    <w:pitch w:val="default"/>
    <w:sig w:usb0="00000000" w:usb1="00000000" w:usb2="00000016" w:usb3="00000000" w:csb0="00040001" w:csb1="00000000"/>
  </w:font>
  <w:font w:name="楷体_GB2312">
    <w:altName w:val="楷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6814656"/>
    </w:sdtPr>
    <w:sdtContent>
      <w:p>
        <w:pPr>
          <w:pStyle w:val="6"/>
          <w:jc w:val="center"/>
        </w:pPr>
        <w:r>
          <w:fldChar w:fldCharType="begin"/>
        </w:r>
        <w:r>
          <w:instrText xml:space="preserve">PAGE   \* MERGEFORMAT</w:instrText>
        </w:r>
        <w:r>
          <w:fldChar w:fldCharType="separate"/>
        </w:r>
        <w:r>
          <w:rPr>
            <w:lang w:val="zh-CN"/>
          </w:rPr>
          <w:t>4</w:t>
        </w:r>
        <w: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kZmVlMTkxZjQyY2Q1MDJhMDE4YzcxM2VhN2Y2NGYifQ=="/>
    <w:docVar w:name="KSO_WPS_MARK_KEY" w:val="65283c27-8b8f-4183-a875-1706d6a1c4b3"/>
  </w:docVars>
  <w:rsids>
    <w:rsidRoot w:val="00DD75EA"/>
    <w:rsid w:val="00000807"/>
    <w:rsid w:val="00003D0E"/>
    <w:rsid w:val="000209A9"/>
    <w:rsid w:val="000226E6"/>
    <w:rsid w:val="00023A43"/>
    <w:rsid w:val="00033B7B"/>
    <w:rsid w:val="00050707"/>
    <w:rsid w:val="00066746"/>
    <w:rsid w:val="000860EF"/>
    <w:rsid w:val="00097641"/>
    <w:rsid w:val="000C254F"/>
    <w:rsid w:val="000C2E6E"/>
    <w:rsid w:val="000C6127"/>
    <w:rsid w:val="000D5744"/>
    <w:rsid w:val="000D6171"/>
    <w:rsid w:val="001064CF"/>
    <w:rsid w:val="00111033"/>
    <w:rsid w:val="0015110A"/>
    <w:rsid w:val="001538FC"/>
    <w:rsid w:val="00162002"/>
    <w:rsid w:val="001621D9"/>
    <w:rsid w:val="001629AC"/>
    <w:rsid w:val="0016667B"/>
    <w:rsid w:val="00183599"/>
    <w:rsid w:val="0019002B"/>
    <w:rsid w:val="001A340E"/>
    <w:rsid w:val="001A664B"/>
    <w:rsid w:val="001B1D85"/>
    <w:rsid w:val="001B36B5"/>
    <w:rsid w:val="001D00D3"/>
    <w:rsid w:val="001E1F43"/>
    <w:rsid w:val="001F1409"/>
    <w:rsid w:val="001F5E08"/>
    <w:rsid w:val="00214258"/>
    <w:rsid w:val="00242786"/>
    <w:rsid w:val="002849CF"/>
    <w:rsid w:val="00287076"/>
    <w:rsid w:val="002A0EF5"/>
    <w:rsid w:val="002A3DB9"/>
    <w:rsid w:val="002A41E8"/>
    <w:rsid w:val="002B32AA"/>
    <w:rsid w:val="002C31B0"/>
    <w:rsid w:val="002C5C4F"/>
    <w:rsid w:val="002D14C2"/>
    <w:rsid w:val="002E7179"/>
    <w:rsid w:val="0032109F"/>
    <w:rsid w:val="00326658"/>
    <w:rsid w:val="00340684"/>
    <w:rsid w:val="00340DA2"/>
    <w:rsid w:val="00352F2F"/>
    <w:rsid w:val="003706BB"/>
    <w:rsid w:val="003776BA"/>
    <w:rsid w:val="00395258"/>
    <w:rsid w:val="003A0E8E"/>
    <w:rsid w:val="003A4409"/>
    <w:rsid w:val="003A785D"/>
    <w:rsid w:val="003B2AFE"/>
    <w:rsid w:val="003B522E"/>
    <w:rsid w:val="003C7C0A"/>
    <w:rsid w:val="003D5C81"/>
    <w:rsid w:val="003D6D66"/>
    <w:rsid w:val="003F6261"/>
    <w:rsid w:val="00401F80"/>
    <w:rsid w:val="0042558B"/>
    <w:rsid w:val="00433E23"/>
    <w:rsid w:val="00435DCA"/>
    <w:rsid w:val="00437E5C"/>
    <w:rsid w:val="004516A4"/>
    <w:rsid w:val="004540F9"/>
    <w:rsid w:val="00464543"/>
    <w:rsid w:val="004717E9"/>
    <w:rsid w:val="0047703A"/>
    <w:rsid w:val="004A58F3"/>
    <w:rsid w:val="004A7273"/>
    <w:rsid w:val="004D523F"/>
    <w:rsid w:val="004F0A52"/>
    <w:rsid w:val="00513E8B"/>
    <w:rsid w:val="00517B80"/>
    <w:rsid w:val="00522714"/>
    <w:rsid w:val="0052763D"/>
    <w:rsid w:val="00530155"/>
    <w:rsid w:val="005505FA"/>
    <w:rsid w:val="00561FE0"/>
    <w:rsid w:val="00575249"/>
    <w:rsid w:val="005815C3"/>
    <w:rsid w:val="00586A56"/>
    <w:rsid w:val="005B505D"/>
    <w:rsid w:val="005C3BB2"/>
    <w:rsid w:val="005F17E0"/>
    <w:rsid w:val="005F77A9"/>
    <w:rsid w:val="006263DC"/>
    <w:rsid w:val="00630A32"/>
    <w:rsid w:val="00645E9D"/>
    <w:rsid w:val="006640D4"/>
    <w:rsid w:val="00666FE1"/>
    <w:rsid w:val="006677E3"/>
    <w:rsid w:val="00672DE4"/>
    <w:rsid w:val="00674FC8"/>
    <w:rsid w:val="006765AF"/>
    <w:rsid w:val="00683C36"/>
    <w:rsid w:val="006913C3"/>
    <w:rsid w:val="006A7BFA"/>
    <w:rsid w:val="006C2AC7"/>
    <w:rsid w:val="006C45A0"/>
    <w:rsid w:val="006C7294"/>
    <w:rsid w:val="006E5801"/>
    <w:rsid w:val="006F1021"/>
    <w:rsid w:val="006F53FD"/>
    <w:rsid w:val="00722CD0"/>
    <w:rsid w:val="00732473"/>
    <w:rsid w:val="007476D2"/>
    <w:rsid w:val="0075473C"/>
    <w:rsid w:val="00762C4F"/>
    <w:rsid w:val="007806DB"/>
    <w:rsid w:val="007A6211"/>
    <w:rsid w:val="007B7DA6"/>
    <w:rsid w:val="007F502C"/>
    <w:rsid w:val="00844C6B"/>
    <w:rsid w:val="008579D1"/>
    <w:rsid w:val="00860176"/>
    <w:rsid w:val="00862FAB"/>
    <w:rsid w:val="00870AD3"/>
    <w:rsid w:val="008726F4"/>
    <w:rsid w:val="00876F2B"/>
    <w:rsid w:val="00884412"/>
    <w:rsid w:val="008949BD"/>
    <w:rsid w:val="008A2359"/>
    <w:rsid w:val="008C1E88"/>
    <w:rsid w:val="008C3960"/>
    <w:rsid w:val="008E51AA"/>
    <w:rsid w:val="008F6800"/>
    <w:rsid w:val="00940A5E"/>
    <w:rsid w:val="00971314"/>
    <w:rsid w:val="0098213D"/>
    <w:rsid w:val="00992410"/>
    <w:rsid w:val="00992B48"/>
    <w:rsid w:val="00992B92"/>
    <w:rsid w:val="00996D4E"/>
    <w:rsid w:val="009A14F5"/>
    <w:rsid w:val="009B2358"/>
    <w:rsid w:val="009B4490"/>
    <w:rsid w:val="009B7634"/>
    <w:rsid w:val="009D31FE"/>
    <w:rsid w:val="00A12869"/>
    <w:rsid w:val="00A26197"/>
    <w:rsid w:val="00A300BC"/>
    <w:rsid w:val="00A37066"/>
    <w:rsid w:val="00A5330C"/>
    <w:rsid w:val="00A6630D"/>
    <w:rsid w:val="00A86791"/>
    <w:rsid w:val="00AA3987"/>
    <w:rsid w:val="00B01A82"/>
    <w:rsid w:val="00B1659A"/>
    <w:rsid w:val="00B16FF4"/>
    <w:rsid w:val="00B448BC"/>
    <w:rsid w:val="00B450F4"/>
    <w:rsid w:val="00B52187"/>
    <w:rsid w:val="00B74B40"/>
    <w:rsid w:val="00B84CCC"/>
    <w:rsid w:val="00BA1859"/>
    <w:rsid w:val="00BC2CD5"/>
    <w:rsid w:val="00BC7A33"/>
    <w:rsid w:val="00C0231F"/>
    <w:rsid w:val="00C23725"/>
    <w:rsid w:val="00C433CF"/>
    <w:rsid w:val="00C64CDD"/>
    <w:rsid w:val="00C934CF"/>
    <w:rsid w:val="00CA35EF"/>
    <w:rsid w:val="00CA7C05"/>
    <w:rsid w:val="00CB1DFD"/>
    <w:rsid w:val="00CC022B"/>
    <w:rsid w:val="00CD4C95"/>
    <w:rsid w:val="00CD539D"/>
    <w:rsid w:val="00CE1180"/>
    <w:rsid w:val="00CE3147"/>
    <w:rsid w:val="00D06B5E"/>
    <w:rsid w:val="00D421E5"/>
    <w:rsid w:val="00D46493"/>
    <w:rsid w:val="00D53F42"/>
    <w:rsid w:val="00D619CB"/>
    <w:rsid w:val="00D65014"/>
    <w:rsid w:val="00D77CC4"/>
    <w:rsid w:val="00D95E74"/>
    <w:rsid w:val="00DA3143"/>
    <w:rsid w:val="00DA6440"/>
    <w:rsid w:val="00DA765A"/>
    <w:rsid w:val="00DD63D1"/>
    <w:rsid w:val="00DD75EA"/>
    <w:rsid w:val="00E000CE"/>
    <w:rsid w:val="00E0358E"/>
    <w:rsid w:val="00E100AC"/>
    <w:rsid w:val="00E166E4"/>
    <w:rsid w:val="00E60DBE"/>
    <w:rsid w:val="00E8387A"/>
    <w:rsid w:val="00E93028"/>
    <w:rsid w:val="00EA0724"/>
    <w:rsid w:val="00EA24C6"/>
    <w:rsid w:val="00EB2537"/>
    <w:rsid w:val="00EC40FE"/>
    <w:rsid w:val="00F03DEE"/>
    <w:rsid w:val="00F0644F"/>
    <w:rsid w:val="00F350F2"/>
    <w:rsid w:val="00F41E46"/>
    <w:rsid w:val="00F42EE8"/>
    <w:rsid w:val="00F61B4B"/>
    <w:rsid w:val="00F648BC"/>
    <w:rsid w:val="00F70228"/>
    <w:rsid w:val="00F7290A"/>
    <w:rsid w:val="00F777F9"/>
    <w:rsid w:val="00F96F7D"/>
    <w:rsid w:val="00FA33C8"/>
    <w:rsid w:val="00FA604C"/>
    <w:rsid w:val="00FC1754"/>
    <w:rsid w:val="00FC7655"/>
    <w:rsid w:val="00FD5C5D"/>
    <w:rsid w:val="00FE43DE"/>
    <w:rsid w:val="00FE4825"/>
    <w:rsid w:val="00FF3FF6"/>
    <w:rsid w:val="0116312F"/>
    <w:rsid w:val="01BF2827"/>
    <w:rsid w:val="020A533B"/>
    <w:rsid w:val="02357803"/>
    <w:rsid w:val="03032638"/>
    <w:rsid w:val="03E372CB"/>
    <w:rsid w:val="06AA08C2"/>
    <w:rsid w:val="06F636A4"/>
    <w:rsid w:val="07BE3D15"/>
    <w:rsid w:val="081F643A"/>
    <w:rsid w:val="094B3863"/>
    <w:rsid w:val="09BB4FB7"/>
    <w:rsid w:val="0D84493F"/>
    <w:rsid w:val="0DB24C72"/>
    <w:rsid w:val="0DD759F4"/>
    <w:rsid w:val="0EC22051"/>
    <w:rsid w:val="0F207965"/>
    <w:rsid w:val="13B80076"/>
    <w:rsid w:val="13E62E35"/>
    <w:rsid w:val="14EF06F6"/>
    <w:rsid w:val="1607540D"/>
    <w:rsid w:val="19F747BA"/>
    <w:rsid w:val="1A1A5DD2"/>
    <w:rsid w:val="1A51364F"/>
    <w:rsid w:val="1AF05866"/>
    <w:rsid w:val="1C8E248C"/>
    <w:rsid w:val="1E696309"/>
    <w:rsid w:val="1F136AA8"/>
    <w:rsid w:val="2053578C"/>
    <w:rsid w:val="21E31EE2"/>
    <w:rsid w:val="224A55CB"/>
    <w:rsid w:val="25DC5E46"/>
    <w:rsid w:val="278953A3"/>
    <w:rsid w:val="2929534F"/>
    <w:rsid w:val="2BF00744"/>
    <w:rsid w:val="2C3B7059"/>
    <w:rsid w:val="2DFB406F"/>
    <w:rsid w:val="2E450D6E"/>
    <w:rsid w:val="30F445E1"/>
    <w:rsid w:val="32062834"/>
    <w:rsid w:val="35972A85"/>
    <w:rsid w:val="35FC7E3E"/>
    <w:rsid w:val="36153997"/>
    <w:rsid w:val="36911CE7"/>
    <w:rsid w:val="37283058"/>
    <w:rsid w:val="37BF6A7B"/>
    <w:rsid w:val="381912C4"/>
    <w:rsid w:val="3AAA3936"/>
    <w:rsid w:val="3B791858"/>
    <w:rsid w:val="3C04482D"/>
    <w:rsid w:val="3C5724DC"/>
    <w:rsid w:val="3DB8735D"/>
    <w:rsid w:val="3EFB760D"/>
    <w:rsid w:val="400131E3"/>
    <w:rsid w:val="403748CC"/>
    <w:rsid w:val="41831BE9"/>
    <w:rsid w:val="44BA514C"/>
    <w:rsid w:val="45473785"/>
    <w:rsid w:val="45763769"/>
    <w:rsid w:val="45E37EBF"/>
    <w:rsid w:val="46BD28C6"/>
    <w:rsid w:val="48BF44EB"/>
    <w:rsid w:val="4B21657D"/>
    <w:rsid w:val="4B3149DB"/>
    <w:rsid w:val="4B560A3D"/>
    <w:rsid w:val="4BDF4E71"/>
    <w:rsid w:val="4C22343F"/>
    <w:rsid w:val="4C72630D"/>
    <w:rsid w:val="508036FB"/>
    <w:rsid w:val="50834975"/>
    <w:rsid w:val="509413EB"/>
    <w:rsid w:val="50F3182D"/>
    <w:rsid w:val="5233759F"/>
    <w:rsid w:val="523D01FF"/>
    <w:rsid w:val="531A47AB"/>
    <w:rsid w:val="53562642"/>
    <w:rsid w:val="57F2715C"/>
    <w:rsid w:val="584C23CD"/>
    <w:rsid w:val="5AAF7AC9"/>
    <w:rsid w:val="5C911059"/>
    <w:rsid w:val="5CCE63AA"/>
    <w:rsid w:val="5D396778"/>
    <w:rsid w:val="5DAB25D9"/>
    <w:rsid w:val="6004268F"/>
    <w:rsid w:val="603B2849"/>
    <w:rsid w:val="63D6054F"/>
    <w:rsid w:val="65425FF6"/>
    <w:rsid w:val="660C0899"/>
    <w:rsid w:val="663C1D0B"/>
    <w:rsid w:val="68E2489D"/>
    <w:rsid w:val="692E3F76"/>
    <w:rsid w:val="69881695"/>
    <w:rsid w:val="6A3521BF"/>
    <w:rsid w:val="6A3D40D1"/>
    <w:rsid w:val="6B291B28"/>
    <w:rsid w:val="6BF20B4C"/>
    <w:rsid w:val="6E761971"/>
    <w:rsid w:val="6F3A7F32"/>
    <w:rsid w:val="6F971D37"/>
    <w:rsid w:val="6FC01CEA"/>
    <w:rsid w:val="72CF7BE5"/>
    <w:rsid w:val="73272CFD"/>
    <w:rsid w:val="736E3CDB"/>
    <w:rsid w:val="7377799E"/>
    <w:rsid w:val="777C16D9"/>
    <w:rsid w:val="7A3031E0"/>
    <w:rsid w:val="7C875015"/>
    <w:rsid w:val="7E2A4F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23"/>
    <w:semiHidden/>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6"/>
    <w:unhideWhenUsed/>
    <w:qFormat/>
    <w:uiPriority w:val="99"/>
    <w:pPr>
      <w:widowControl/>
      <w:spacing w:after="120" w:line="276" w:lineRule="auto"/>
      <w:jc w:val="left"/>
    </w:pPr>
    <w:rPr>
      <w:rFonts w:ascii="微软雅黑" w:hAnsi="微软雅黑" w:eastAsia="微软雅黑"/>
      <w:kern w:val="0"/>
      <w:sz w:val="22"/>
      <w:lang w:eastAsia="en-US"/>
    </w:rPr>
  </w:style>
  <w:style w:type="paragraph" w:styleId="4">
    <w:name w:val="Plain Text"/>
    <w:basedOn w:val="1"/>
    <w:link w:val="15"/>
    <w:unhideWhenUsed/>
    <w:qFormat/>
    <w:uiPriority w:val="99"/>
    <w:rPr>
      <w:rFonts w:ascii="宋体" w:hAnsi="Courier New" w:eastAsia="宋体" w:cs="Courier New"/>
      <w:szCs w:val="21"/>
    </w:rPr>
  </w:style>
  <w:style w:type="paragraph" w:styleId="5">
    <w:name w:val="Balloon Text"/>
    <w:basedOn w:val="1"/>
    <w:link w:val="17"/>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spacing w:beforeAutospacing="1" w:afterAutospacing="1"/>
      <w:jc w:val="left"/>
    </w:pPr>
    <w:rPr>
      <w:rFonts w:eastAsia="黑体" w:cs="Times New Roman"/>
      <w:kern w:val="0"/>
      <w:sz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0"/>
    <w:rPr>
      <w:b/>
    </w:rPr>
  </w:style>
  <w:style w:type="character" w:customStyle="1" w:styleId="13">
    <w:name w:val="页眉 Char"/>
    <w:basedOn w:val="11"/>
    <w:link w:val="7"/>
    <w:qFormat/>
    <w:uiPriority w:val="99"/>
    <w:rPr>
      <w:sz w:val="18"/>
      <w:szCs w:val="18"/>
    </w:rPr>
  </w:style>
  <w:style w:type="character" w:customStyle="1" w:styleId="14">
    <w:name w:val="页脚 Char"/>
    <w:basedOn w:val="11"/>
    <w:link w:val="6"/>
    <w:qFormat/>
    <w:uiPriority w:val="99"/>
    <w:rPr>
      <w:sz w:val="18"/>
      <w:szCs w:val="18"/>
    </w:rPr>
  </w:style>
  <w:style w:type="character" w:customStyle="1" w:styleId="15">
    <w:name w:val="纯文本 Char"/>
    <w:basedOn w:val="11"/>
    <w:link w:val="4"/>
    <w:qFormat/>
    <w:uiPriority w:val="99"/>
    <w:rPr>
      <w:rFonts w:ascii="宋体" w:hAnsi="Courier New" w:eastAsia="宋体" w:cs="Courier New"/>
      <w:szCs w:val="21"/>
    </w:rPr>
  </w:style>
  <w:style w:type="character" w:customStyle="1" w:styleId="16">
    <w:name w:val="正文文本 Char"/>
    <w:basedOn w:val="11"/>
    <w:link w:val="3"/>
    <w:qFormat/>
    <w:uiPriority w:val="99"/>
    <w:rPr>
      <w:rFonts w:ascii="微软雅黑" w:hAnsi="微软雅黑" w:eastAsia="微软雅黑"/>
      <w:kern w:val="0"/>
      <w:sz w:val="22"/>
      <w:lang w:eastAsia="en-US"/>
    </w:rPr>
  </w:style>
  <w:style w:type="character" w:customStyle="1" w:styleId="17">
    <w:name w:val="批注框文本 Char"/>
    <w:basedOn w:val="11"/>
    <w:link w:val="5"/>
    <w:semiHidden/>
    <w:qFormat/>
    <w:uiPriority w:val="99"/>
    <w:rPr>
      <w:sz w:val="18"/>
      <w:szCs w:val="18"/>
    </w:rPr>
  </w:style>
  <w:style w:type="paragraph" w:customStyle="1" w:styleId="18">
    <w:name w:val="试卷-单选题-试题-题目"/>
    <w:basedOn w:val="1"/>
    <w:qFormat/>
    <w:uiPriority w:val="0"/>
    <w:pPr>
      <w:spacing w:line="360" w:lineRule="auto"/>
      <w:jc w:val="left"/>
    </w:pPr>
    <w:rPr>
      <w:rFonts w:ascii="Times New Roman" w:hAnsi="Times New Roman" w:eastAsia="宋体" w:cs="Times New Roman"/>
      <w:szCs w:val="20"/>
    </w:rPr>
  </w:style>
  <w:style w:type="paragraph" w:customStyle="1" w:styleId="19">
    <w:name w:val="试卷-单选题-试题-答案"/>
    <w:basedOn w:val="1"/>
    <w:qFormat/>
    <w:uiPriority w:val="0"/>
    <w:pPr>
      <w:spacing w:line="360" w:lineRule="auto"/>
    </w:pPr>
    <w:rPr>
      <w:rFonts w:ascii="Times New Roman" w:hAnsi="Times New Roman" w:eastAsia="宋体" w:cs="Times New Roman"/>
      <w:szCs w:val="20"/>
    </w:rPr>
  </w:style>
  <w:style w:type="paragraph" w:customStyle="1" w:styleId="20">
    <w:name w:val="试题-答案-普通"/>
    <w:basedOn w:val="1"/>
    <w:qFormat/>
    <w:uiPriority w:val="0"/>
    <w:pPr>
      <w:spacing w:line="360" w:lineRule="auto"/>
      <w:jc w:val="left"/>
    </w:pPr>
    <w:rPr>
      <w:rFonts w:ascii="Times New Roman" w:hAnsi="Times New Roman" w:eastAsia="宋体" w:cs="Times New Roman"/>
      <w:szCs w:val="20"/>
    </w:rPr>
  </w:style>
  <w:style w:type="paragraph" w:customStyle="1" w:styleId="21">
    <w:name w:val="题干"/>
    <w:basedOn w:val="1"/>
    <w:qFormat/>
    <w:uiPriority w:val="0"/>
    <w:pPr>
      <w:widowControl/>
      <w:tabs>
        <w:tab w:val="left" w:pos="2100"/>
      </w:tabs>
      <w:spacing w:line="360" w:lineRule="auto"/>
      <w:ind w:left="150" w:hanging="150" w:hangingChars="150"/>
      <w:jc w:val="left"/>
      <w:textAlignment w:val="center"/>
    </w:pPr>
    <w:rPr>
      <w:rFonts w:ascii="宋体" w:hAnsi="宋体" w:eastAsia="宋体" w:cs="Times New Roman"/>
      <w:kern w:val="0"/>
      <w:sz w:val="20"/>
      <w:szCs w:val="21"/>
    </w:rPr>
  </w:style>
  <w:style w:type="paragraph" w:styleId="22">
    <w:name w:val="List Paragraph"/>
    <w:basedOn w:val="1"/>
    <w:qFormat/>
    <w:uiPriority w:val="34"/>
    <w:pPr>
      <w:ind w:firstLine="420" w:firstLineChars="200"/>
    </w:pPr>
  </w:style>
  <w:style w:type="character" w:customStyle="1" w:styleId="23">
    <w:name w:val="标题 3 Char"/>
    <w:basedOn w:val="11"/>
    <w:link w:val="2"/>
    <w:semiHidden/>
    <w:qFormat/>
    <w:uiPriority w:val="9"/>
    <w:rPr>
      <w:b/>
      <w:bCs/>
      <w:sz w:val="32"/>
      <w:szCs w:val="32"/>
    </w:rPr>
  </w:style>
  <w:style w:type="paragraph" w:customStyle="1" w:styleId="24">
    <w:name w:val="试卷-材料题-试题-标题"/>
    <w:basedOn w:val="1"/>
    <w:qFormat/>
    <w:uiPriority w:val="0"/>
    <w:pPr>
      <w:jc w:val="left"/>
    </w:pPr>
    <w:rPr>
      <w:rFonts w:ascii="宋体" w:hAnsi="宋体"/>
    </w:rPr>
  </w:style>
  <w:style w:type="paragraph" w:customStyle="1" w:styleId="25">
    <w:name w:val="试卷-材料题-试题-材料-标题"/>
    <w:basedOn w:val="1"/>
    <w:qFormat/>
    <w:uiPriority w:val="0"/>
    <w:pPr>
      <w:ind w:firstLine="4830" w:firstLineChars="2300"/>
      <w:jc w:val="left"/>
    </w:pPr>
    <w:rPr>
      <w:rFonts w:ascii="楷体" w:hAnsi="楷体" w:eastAsia="楷体"/>
    </w:rPr>
  </w:style>
  <w:style w:type="paragraph" w:customStyle="1" w:styleId="26">
    <w:name w:val="试卷-材料题-试题-材料-正文"/>
    <w:basedOn w:val="1"/>
    <w:qFormat/>
    <w:uiPriority w:val="0"/>
    <w:pPr>
      <w:spacing w:line="360" w:lineRule="auto"/>
      <w:ind w:firstLine="420" w:firstLineChars="200"/>
    </w:pPr>
    <w:rPr>
      <w:rFonts w:eastAsia="KaiTi_GB2312"/>
    </w:rPr>
  </w:style>
  <w:style w:type="paragraph" w:customStyle="1" w:styleId="27">
    <w:name w:val="试卷-材料题-试题-材料-引自"/>
    <w:basedOn w:val="1"/>
    <w:qFormat/>
    <w:uiPriority w:val="0"/>
    <w:pPr>
      <w:spacing w:line="360" w:lineRule="auto"/>
      <w:ind w:left="420" w:leftChars="200"/>
      <w:jc w:val="right"/>
    </w:pPr>
    <w:rPr>
      <w:rFonts w:eastAsia="楷体_GB2312"/>
    </w:rPr>
  </w:style>
  <w:style w:type="paragraph" w:customStyle="1" w:styleId="28">
    <w:name w:val="试卷-材料题-试题-题目"/>
    <w:basedOn w:val="1"/>
    <w:qFormat/>
    <w:uiPriority w:val="0"/>
    <w:pPr>
      <w:spacing w:line="360" w:lineRule="auto"/>
      <w:ind w:firstLine="420" w:firstLineChars="200"/>
    </w:pPr>
  </w:style>
  <w:style w:type="paragraph" w:customStyle="1" w:styleId="29">
    <w:name w:val="试题-答案-普通1"/>
    <w:basedOn w:val="1"/>
    <w:qFormat/>
    <w:uiPriority w:val="0"/>
    <w:pPr>
      <w:spacing w:line="360" w:lineRule="auto"/>
      <w:jc w:val="left"/>
    </w:pPr>
  </w:style>
  <w:style w:type="paragraph" w:customStyle="1" w:styleId="30">
    <w:name w:val="试卷-题型-标题"/>
    <w:basedOn w:val="1"/>
    <w:qFormat/>
    <w:uiPriority w:val="0"/>
    <w:pPr>
      <w:spacing w:line="360" w:lineRule="auto"/>
    </w:pPr>
    <w:rPr>
      <w:rFonts w:ascii="Times New Roman" w:hAnsi="黑体" w:eastAsia="黑体" w:cs="Times New Roman"/>
      <w:b/>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wmf"/><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3226</Words>
  <Characters>3435</Characters>
  <Lines>33</Lines>
  <Paragraphs>9</Paragraphs>
  <TotalTime>1</TotalTime>
  <ScaleCrop>false</ScaleCrop>
  <LinksUpToDate>false</LinksUpToDate>
  <CharactersWithSpaces>3833</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2023-08-10T02:30:00Z</dcterms:created>
  <dc:creator>user</dc:creator>
  <cp:lastModifiedBy>YZZX</cp:lastModifiedBy>
  <dcterms:modified xsi:type="dcterms:W3CDTF">2025-03-12T09:26:49Z</dcterms:modified>
  <cp:revision>174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967666550F254B9CB7FB56607FB040AD</vt:lpwstr>
  </property>
</Properties>
</file>