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第5课 </w:t>
      </w:r>
      <w:r>
        <w:rPr>
          <w:rFonts w:hint="eastAsia" w:ascii="黑体" w:hAnsi="黑体" w:eastAsia="黑体" w:cs="黑体"/>
          <w:b/>
          <w:bCs/>
          <w:kern w:val="0"/>
          <w:sz w:val="28"/>
          <w:szCs w:val="28"/>
          <w:lang w:val="en-US" w:eastAsia="zh-CN"/>
        </w:rPr>
        <w:t>古代非洲与美洲</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通过了解中古时期非洲、美洲地区的社会状况，认识这一时期非洲、美洲文明的多元面貌。</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一、古代非洲文明</w:t>
      </w:r>
    </w:p>
    <w:p w14:paraId="2D883FC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1.班图人</w:t>
      </w:r>
    </w:p>
    <w:p w14:paraId="12C124A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文明成就：培育出了甜高粱、西瓜和棉花等重要农作物；驯养了牛，引进了绵羊和山羊等；掌握了冶铁技术。</w:t>
      </w:r>
    </w:p>
    <w:p w14:paraId="7AF88B8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文明扩展：到11世纪，成为撒哈拉沙漠以南地区的主要居民，农业、畜牧业和________技术传播到非洲大部分地区。</w:t>
      </w:r>
    </w:p>
    <w:p w14:paraId="3473800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2.文明区域</w:t>
      </w:r>
    </w:p>
    <w:p w14:paraId="04E25DF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东北非文明：公元前后，在今埃塞俄比亚地区兴起了____________王国。4世纪，阿克苏姆王国进入鼎盛时期，一度成为地区强国。</w:t>
      </w:r>
    </w:p>
    <w:p w14:paraId="77D265B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东非文明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6636"/>
      </w:tblGrid>
      <w:tr w14:paraId="602E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3D42CF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国家</w:t>
            </w:r>
          </w:p>
        </w:tc>
        <w:tc>
          <w:tcPr>
            <w:tcW w:w="6636" w:type="dxa"/>
            <w:shd w:val="clear" w:color="auto" w:fill="auto"/>
            <w:vAlign w:val="center"/>
          </w:tcPr>
          <w:p w14:paraId="31606E4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桑给巴尔、蒙巴萨和____________</w:t>
            </w:r>
          </w:p>
        </w:tc>
      </w:tr>
      <w:tr w14:paraId="6E32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10B90C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兴起</w:t>
            </w:r>
          </w:p>
        </w:tc>
        <w:tc>
          <w:tcPr>
            <w:tcW w:w="6636" w:type="dxa"/>
            <w:shd w:val="clear" w:color="auto" w:fill="auto"/>
            <w:vAlign w:val="center"/>
          </w:tcPr>
          <w:p w14:paraId="4D9977D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10—15世纪</w:t>
            </w:r>
          </w:p>
        </w:tc>
      </w:tr>
      <w:tr w14:paraId="394C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4BE96E6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原因</w:t>
            </w:r>
          </w:p>
        </w:tc>
        <w:tc>
          <w:tcPr>
            <w:tcW w:w="6636" w:type="dxa"/>
            <w:shd w:val="clear" w:color="auto" w:fill="auto"/>
            <w:vAlign w:val="center"/>
          </w:tcPr>
          <w:p w14:paraId="68F00E8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农业的进步、环印度洋贸易的发展和________的传入</w:t>
            </w:r>
          </w:p>
        </w:tc>
      </w:tr>
      <w:tr w14:paraId="5A5E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04298FF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特征</w:t>
            </w:r>
          </w:p>
        </w:tc>
        <w:tc>
          <w:tcPr>
            <w:tcW w:w="6636" w:type="dxa"/>
            <w:shd w:val="clear" w:color="auto" w:fill="auto"/>
            <w:vAlign w:val="center"/>
          </w:tcPr>
          <w:p w14:paraId="2215D88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广泛使用奴隶，以________为主，对外贸易发达，城市繁荣</w:t>
            </w:r>
          </w:p>
        </w:tc>
      </w:tr>
    </w:tbl>
    <w:p w14:paraId="52373D8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西非文明：8—15世纪，西非的________、马里和桑海等国家先后兴起，成为西非强国。这些国家拥有丰富的________资源，极其富有。</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6864"/>
      </w:tblGrid>
      <w:tr w14:paraId="1BDF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shd w:val="clear" w:color="auto" w:fill="auto"/>
            <w:vAlign w:val="center"/>
          </w:tcPr>
          <w:p w14:paraId="14EF829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马里</w:t>
            </w:r>
          </w:p>
        </w:tc>
        <w:tc>
          <w:tcPr>
            <w:tcW w:w="876" w:type="dxa"/>
            <w:shd w:val="clear" w:color="auto" w:fill="auto"/>
            <w:vAlign w:val="center"/>
          </w:tcPr>
          <w:p w14:paraId="490FC73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兴起</w:t>
            </w:r>
          </w:p>
        </w:tc>
        <w:tc>
          <w:tcPr>
            <w:tcW w:w="6864" w:type="dxa"/>
            <w:shd w:val="clear" w:color="auto" w:fill="auto"/>
            <w:vAlign w:val="center"/>
          </w:tcPr>
          <w:p w14:paraId="6E6CCE8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马里征服加纳后，进一步扩张</w:t>
            </w:r>
          </w:p>
        </w:tc>
      </w:tr>
      <w:tr w14:paraId="6E2B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vAlign w:val="center"/>
          </w:tcPr>
          <w:p w14:paraId="22DE40A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876" w:type="dxa"/>
            <w:shd w:val="clear" w:color="auto" w:fill="auto"/>
            <w:vAlign w:val="center"/>
          </w:tcPr>
          <w:p w14:paraId="2737B26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文明</w:t>
            </w:r>
          </w:p>
        </w:tc>
        <w:tc>
          <w:tcPr>
            <w:tcW w:w="6864" w:type="dxa"/>
            <w:shd w:val="clear" w:color="auto" w:fill="auto"/>
            <w:vAlign w:val="center"/>
          </w:tcPr>
          <w:p w14:paraId="11BFFAC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①把塞内加尔河和尼日尔河流域纳入版图，成为西非最强大的国家</w:t>
            </w:r>
          </w:p>
          <w:p w14:paraId="6D929CB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②继承并扩大了加纳的贸易</w:t>
            </w:r>
          </w:p>
          <w:p w14:paraId="21C02A1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③城市和文化繁荣，____________成为西非重要的文化中心</w:t>
            </w:r>
          </w:p>
        </w:tc>
      </w:tr>
      <w:tr w14:paraId="1367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shd w:val="clear" w:color="auto" w:fill="auto"/>
            <w:vAlign w:val="center"/>
          </w:tcPr>
          <w:p w14:paraId="122FC80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桑海</w:t>
            </w:r>
          </w:p>
        </w:tc>
        <w:tc>
          <w:tcPr>
            <w:tcW w:w="876" w:type="dxa"/>
            <w:shd w:val="clear" w:color="auto" w:fill="auto"/>
            <w:vAlign w:val="center"/>
          </w:tcPr>
          <w:p w14:paraId="44AFEC6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兴起</w:t>
            </w:r>
          </w:p>
        </w:tc>
        <w:tc>
          <w:tcPr>
            <w:tcW w:w="6864" w:type="dxa"/>
            <w:shd w:val="clear" w:color="auto" w:fill="auto"/>
            <w:vAlign w:val="center"/>
          </w:tcPr>
          <w:p w14:paraId="5570A7D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乘马里内乱崛起，击败________，确立了在西非的霸主地位</w:t>
            </w:r>
          </w:p>
        </w:tc>
      </w:tr>
      <w:tr w14:paraId="1210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vAlign w:val="center"/>
          </w:tcPr>
          <w:p w14:paraId="3DFFFEE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876" w:type="dxa"/>
            <w:shd w:val="clear" w:color="auto" w:fill="auto"/>
            <w:vAlign w:val="center"/>
          </w:tcPr>
          <w:p w14:paraId="46E41FB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文明</w:t>
            </w:r>
          </w:p>
        </w:tc>
        <w:tc>
          <w:tcPr>
            <w:tcW w:w="6864" w:type="dxa"/>
            <w:shd w:val="clear" w:color="auto" w:fill="auto"/>
            <w:vAlign w:val="center"/>
          </w:tcPr>
          <w:p w14:paraId="3A6B6F9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①实行____________，官吏直接由国王任免</w:t>
            </w:r>
          </w:p>
          <w:p w14:paraId="565B64F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②扩大对外贸易，奴隶成为生产中的重要力量</w:t>
            </w:r>
          </w:p>
          <w:p w14:paraId="0411DD4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③兴建学校，鼓励文化发展</w:t>
            </w:r>
          </w:p>
          <w:p w14:paraId="0FE6B77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④16世纪末，桑海因遭遇____________逐渐衰落</w:t>
            </w:r>
          </w:p>
        </w:tc>
      </w:tr>
    </w:tbl>
    <w:p w14:paraId="29BAFB0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南非文明</w:t>
      </w:r>
    </w:p>
    <w:p w14:paraId="1735E54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①11世纪末，班图人建立了____________国家。</w:t>
      </w:r>
    </w:p>
    <w:p w14:paraId="585236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rPr>
        <w:t>②14—15世纪，津巴布韦进入鼎盛时期，包括今南非的部分地区都被纳入它的统治之下。</w:t>
      </w:r>
    </w:p>
    <w:p w14:paraId="2ABDB0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0A53D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54D68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FD9D26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041E66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232B2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1C9919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  ……许多民族独立地“发明”了不同动植物的驯化。事实上，不同地区独立地“发明”了农业,这些地区远至公元前5000年的中国黄河流域和公元前3000年的中美洲。因此，我们没有理由认为古代非洲人不会炼铜术，且不能独立地将炼铜术应用到炼铁问题的解决。考古证据显示，东非的大湖区和乍得湖之间的地区，在公元前1000—前600年期间存在过早期的炼铁活动，这时西亚技术尚未传播到埃及。 </w:t>
      </w:r>
    </w:p>
    <w:p w14:paraId="2458C44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——[美]希林顿著，赵俊译《非洲史》 </w:t>
      </w:r>
    </w:p>
    <w:p w14:paraId="3AB80E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据材料与所学知识，如何理解古代文明的多源特点？</w:t>
      </w:r>
    </w:p>
    <w:p w14:paraId="76ED3B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E34D2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E963D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E9DED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9610C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40640</wp:posOffset>
                </wp:positionV>
                <wp:extent cx="6362700" cy="4638040"/>
                <wp:effectExtent l="6350" t="6350" r="12700" b="22860"/>
                <wp:wrapNone/>
                <wp:docPr id="1" name="矩形 1"/>
                <wp:cNvGraphicFramePr/>
                <a:graphic xmlns:a="http://schemas.openxmlformats.org/drawingml/2006/main">
                  <a:graphicData uri="http://schemas.microsoft.com/office/word/2010/wordprocessingShape">
                    <wps:wsp>
                      <wps:cNvSpPr/>
                      <wps:spPr>
                        <a:xfrm>
                          <a:off x="0" y="0"/>
                          <a:ext cx="6362700" cy="463804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3.2pt;height:365.2pt;width:501pt;z-index:251660288;v-text-anchor:middle;mso-width-relative:page;mso-height-relative:page;" filled="f" stroked="t" coordsize="21600,21600" o:gfxdata="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Vxm2QAAAAgBAAAPAAAAAAAAAAEAIAAAACIAAABkcnMv&#10;ZG93bnJldi54bWxQSwECFAAUAAAACACHTuJAAwJtYwICAAASBAAADgAAAAAAAAABACAAAAAoAQAA&#10;ZHJzL2Uyb0RvYy54bWxQSwUGAAAAAAYABgBZAQAAnAU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0011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第5课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古代非洲与美洲</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3.4</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6DEE8295">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非洲是古代农业一个重要发源地，培育出甜高粱、西瓜和棉花等重要农作物，成为西非的主要居民的是</w:t>
      </w:r>
    </w:p>
    <w:p w14:paraId="68C64D03">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埃及人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班图人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加纳人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w:t>
      </w:r>
      <w:r>
        <w:rPr>
          <w:rFonts w:hint="eastAsia" w:hAnsi="宋体" w:cs="宋体"/>
          <w:sz w:val="21"/>
          <w:szCs w:val="21"/>
          <w:lang w:eastAsia="zh-CN"/>
        </w:rPr>
        <w:t>.</w:t>
      </w:r>
      <w:r>
        <w:rPr>
          <w:rFonts w:hint="eastAsia" w:ascii="宋体" w:hAnsi="宋体" w:eastAsia="宋体" w:cs="宋体"/>
          <w:sz w:val="21"/>
          <w:szCs w:val="21"/>
        </w:rPr>
        <w:t>马里人</w:t>
      </w:r>
    </w:p>
    <w:p w14:paraId="64D6509C">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公元1世纪的希腊著作《厄立特里亚海航记》中首次提到阿克苏姆王国。阿杜利斯是阿克苏姆王国最重要的贸易中心。来自意大利、埃及和印度的铁器、棉布和酒源源不断运到此地，同时运出大量的黄金、象牙和香料。据此推断，阿克苏姆王国繁荣得益于</w:t>
      </w:r>
    </w:p>
    <w:p w14:paraId="6FAC4EC8">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古希腊的殖民活动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优越的地理位置</w:t>
      </w:r>
    </w:p>
    <w:p w14:paraId="64653145">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阿拉伯帝国的建立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西非农业的发展</w:t>
      </w:r>
    </w:p>
    <w:p w14:paraId="2A1CB63F">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14世纪，摩洛哥旅行家伊本·白图泰记载，在廷巴克图，商人、纺织工匠等组成一个独立阶层，他们结交外国商人；盖达米斯商人建设了有地中海风格的社区。这种情形反映出</w:t>
      </w:r>
    </w:p>
    <w:p w14:paraId="5DE3EBC8">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廷巴克图是西非的文化中心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马里王国控制了欧亚贸易商路</w:t>
      </w:r>
    </w:p>
    <w:p w14:paraId="13CD9DF8">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马里的工商业者社会地位最高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马里王国注重发展对外贸易</w:t>
      </w:r>
    </w:p>
    <w:p w14:paraId="52320A20">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津巴布韦国家在其鼎盛时期便向外扩张，石建文化迅速向外传播，类似于大津巴布韦的石建出现于高原的东部、西南部、中部和北部，从中可以看出</w:t>
      </w:r>
    </w:p>
    <w:p w14:paraId="69DE9E38">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津巴布韦对外扩张助推文化交流传播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石建文化并非津巴布韦独有</w:t>
      </w:r>
    </w:p>
    <w:p w14:paraId="1E554C3B">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津巴布韦已经发展到了较高文明阶段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石建文化是由地理环境决定的</w:t>
      </w:r>
    </w:p>
    <w:p w14:paraId="35ACAF96">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如表所示为非洲文明发展的相关信息。这反映出</w:t>
      </w:r>
    </w:p>
    <w:tbl>
      <w:tblPr>
        <w:tblStyle w:val="5"/>
        <w:tblW w:w="0" w:type="auto"/>
        <w:jc w:val="center"/>
        <w:tblLayout w:type="autofit"/>
        <w:tblCellMar>
          <w:top w:w="0" w:type="dxa"/>
          <w:left w:w="108" w:type="dxa"/>
          <w:bottom w:w="0" w:type="dxa"/>
          <w:right w:w="108" w:type="dxa"/>
        </w:tblCellMar>
      </w:tblPr>
      <w:tblGrid>
        <w:gridCol w:w="1045"/>
        <w:gridCol w:w="985"/>
        <w:gridCol w:w="1950"/>
        <w:gridCol w:w="1545"/>
        <w:gridCol w:w="2730"/>
      </w:tblGrid>
      <w:tr w14:paraId="106A2644">
        <w:tblPrEx>
          <w:tblCellMar>
            <w:top w:w="0" w:type="dxa"/>
            <w:left w:w="108" w:type="dxa"/>
            <w:bottom w:w="0" w:type="dxa"/>
            <w:right w:w="108" w:type="dxa"/>
          </w:tblCellMar>
        </w:tblPrEx>
        <w:trPr>
          <w:trHeight w:val="396" w:hRule="atLeast"/>
          <w:jc w:val="center"/>
        </w:trPr>
        <w:tc>
          <w:tcPr>
            <w:tcW w:w="104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2537DC21">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地区</w:t>
            </w:r>
          </w:p>
        </w:tc>
        <w:tc>
          <w:tcPr>
            <w:tcW w:w="98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ADA72C2">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195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64E61B00">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交通工具</w:t>
            </w:r>
          </w:p>
        </w:tc>
        <w:tc>
          <w:tcPr>
            <w:tcW w:w="154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28F991A9">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交易范围</w:t>
            </w:r>
          </w:p>
        </w:tc>
        <w:tc>
          <w:tcPr>
            <w:tcW w:w="273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CCF8A09">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交易商品</w:t>
            </w:r>
          </w:p>
        </w:tc>
      </w:tr>
      <w:tr w14:paraId="4B9E8710">
        <w:tblPrEx>
          <w:tblCellMar>
            <w:top w:w="0" w:type="dxa"/>
            <w:left w:w="108" w:type="dxa"/>
            <w:bottom w:w="0" w:type="dxa"/>
            <w:right w:w="108" w:type="dxa"/>
          </w:tblCellMar>
        </w:tblPrEx>
        <w:trPr>
          <w:trHeight w:val="788" w:hRule="atLeast"/>
          <w:jc w:val="center"/>
        </w:trPr>
        <w:tc>
          <w:tcPr>
            <w:tcW w:w="104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4F2D66B9">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古埃及</w:t>
            </w:r>
          </w:p>
        </w:tc>
        <w:tc>
          <w:tcPr>
            <w:tcW w:w="98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F086048">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公元</w:t>
            </w:r>
          </w:p>
          <w:p w14:paraId="5AEF2DE9">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1世纪</w:t>
            </w:r>
          </w:p>
          <w:p w14:paraId="1D64F7E9">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以前</w:t>
            </w:r>
          </w:p>
        </w:tc>
        <w:tc>
          <w:tcPr>
            <w:tcW w:w="195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577946B8">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海船、驳船、驴子商队</w:t>
            </w:r>
          </w:p>
        </w:tc>
        <w:tc>
          <w:tcPr>
            <w:tcW w:w="1545"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27B0A013">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中非、努比亚、埃及、欧洲和亚洲</w:t>
            </w:r>
          </w:p>
        </w:tc>
        <w:tc>
          <w:tcPr>
            <w:tcW w:w="273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64029C79">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武器、生产工具、打猎用具、装饰品、玻璃制品等</w:t>
            </w:r>
          </w:p>
        </w:tc>
      </w:tr>
      <w:tr w14:paraId="5FD9471F">
        <w:tblPrEx>
          <w:tblCellMar>
            <w:top w:w="0" w:type="dxa"/>
            <w:left w:w="108" w:type="dxa"/>
            <w:bottom w:w="0" w:type="dxa"/>
            <w:right w:w="108" w:type="dxa"/>
          </w:tblCellMar>
        </w:tblPrEx>
        <w:trPr>
          <w:trHeight w:val="984" w:hRule="atLeast"/>
          <w:jc w:val="center"/>
        </w:trPr>
        <w:tc>
          <w:tcPr>
            <w:tcW w:w="104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3334C89">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东非</w:t>
            </w:r>
          </w:p>
        </w:tc>
        <w:tc>
          <w:tcPr>
            <w:tcW w:w="98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413DE992">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公元</w:t>
            </w:r>
          </w:p>
          <w:p w14:paraId="44F1630A">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100-</w:t>
            </w:r>
          </w:p>
          <w:p w14:paraId="2A9CA204">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800年</w:t>
            </w:r>
          </w:p>
        </w:tc>
        <w:tc>
          <w:tcPr>
            <w:tcW w:w="195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749E0D1E">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帆船、骆驼商队</w:t>
            </w:r>
          </w:p>
        </w:tc>
        <w:tc>
          <w:tcPr>
            <w:tcW w:w="1545"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63BF50B1">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红海地区和阿拉伯半岛</w:t>
            </w:r>
          </w:p>
        </w:tc>
        <w:tc>
          <w:tcPr>
            <w:tcW w:w="273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6C1F2C9D">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非洲人出售象牙、犀牛角、龟壳、木材、香料和奴隶，交换纺织品、金属工具和武器等</w:t>
            </w:r>
          </w:p>
        </w:tc>
      </w:tr>
      <w:tr w14:paraId="7681B87F">
        <w:tblPrEx>
          <w:tblCellMar>
            <w:top w:w="0" w:type="dxa"/>
            <w:left w:w="108" w:type="dxa"/>
            <w:bottom w:w="0" w:type="dxa"/>
            <w:right w:w="108" w:type="dxa"/>
          </w:tblCellMar>
        </w:tblPrEx>
        <w:trPr>
          <w:trHeight w:val="788" w:hRule="atLeast"/>
          <w:jc w:val="center"/>
        </w:trPr>
        <w:tc>
          <w:tcPr>
            <w:tcW w:w="104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79BC609B">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西非</w:t>
            </w:r>
          </w:p>
        </w:tc>
        <w:tc>
          <w:tcPr>
            <w:tcW w:w="98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E0DD1D5">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公元</w:t>
            </w:r>
          </w:p>
          <w:p w14:paraId="773265D0">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800-</w:t>
            </w:r>
          </w:p>
          <w:p w14:paraId="4414F3FF">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1500年</w:t>
            </w:r>
          </w:p>
        </w:tc>
        <w:tc>
          <w:tcPr>
            <w:tcW w:w="195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15B13436">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商船、骆驼商队</w:t>
            </w:r>
          </w:p>
        </w:tc>
        <w:tc>
          <w:tcPr>
            <w:tcW w:w="1545"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7849AF87">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北非、欧洲、中东、印度、南亚和中国</w:t>
            </w:r>
          </w:p>
        </w:tc>
        <w:tc>
          <w:tcPr>
            <w:tcW w:w="273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3122B487">
            <w:pPr>
              <w:keepNext w:val="0"/>
              <w:keepLines w:val="0"/>
              <w:pageBreakBefore w:val="0"/>
              <w:tabs>
                <w:tab w:val="left" w:pos="3686"/>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西非出口黄金、柯拉果、香料和奴隶；埃及和摩洛哥打造的金币等</w:t>
            </w:r>
          </w:p>
        </w:tc>
      </w:tr>
    </w:tbl>
    <w:p w14:paraId="0853E1A2">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p>
    <w:p w14:paraId="0C6817E0">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地理环境决定非洲历史进程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古代非洲对外贸易活跃</w:t>
      </w:r>
    </w:p>
    <w:p w14:paraId="64FFC7C9">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战争加强了文明之间的联系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古代非洲农业较为落后</w:t>
      </w:r>
    </w:p>
    <w:p w14:paraId="0225C81A">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hAnsi="宋体" w:cs="宋体"/>
          <w:sz w:val="21"/>
          <w:szCs w:val="21"/>
          <w:lang w:eastAsia="zh-CN"/>
        </w:rPr>
        <w:t>.</w:t>
      </w:r>
      <w:r>
        <w:rPr>
          <w:rFonts w:hint="eastAsia" w:ascii="宋体" w:hAnsi="宋体" w:eastAsia="宋体" w:cs="宋体"/>
          <w:sz w:val="21"/>
          <w:szCs w:val="21"/>
        </w:rPr>
        <w:t>西非人在9世纪左右掌握了铁器和青铜的冶炼技术，能够铸造青铜人像和工具。东非出现一系列城市国家，与阿拉伯地区和中国都有贸易往来。中部和南部非洲较多保留了黑人传统文化，大津巴布韦遗址由石块垒砌而成。下列选项对材料所述解读最准确的是</w:t>
      </w:r>
    </w:p>
    <w:p w14:paraId="3DC290EE">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中国和非洲交往源远流长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古代非洲城市发展水平较高</w:t>
      </w:r>
    </w:p>
    <w:p w14:paraId="30E08C52">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非洲文化地域性特征明显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古代非洲对外贸易比较发达</w:t>
      </w:r>
    </w:p>
    <w:p w14:paraId="332F43D2">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古代非洲文明和古代美洲文明各有特点，虽然自然环境有所不同，但都创造了自己的文明，发展出了独特的国家治理制度。下列说法正确的是</w:t>
      </w:r>
    </w:p>
    <w:p w14:paraId="5E6C9459">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西非班图人发明了冶铁技术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非洲落后导致对外贸易受阻</w:t>
      </w:r>
    </w:p>
    <w:p w14:paraId="7FF0F2F8">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中美洲玛雅人发明楔形文字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印第安人独立培育玉米番茄</w:t>
      </w:r>
    </w:p>
    <w:p w14:paraId="04AA460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2A8B25E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非洲南部的大津巴布韦遗址曾出土了一些青花瓷，它们原产于15世纪左右的中国。从史料实证的角度进行分析，它们的出现表明</w:t>
      </w:r>
    </w:p>
    <w:p w14:paraId="443DCDF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郑和下西洋到访了非洲</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麦哲伦船队曾抵达此地</w:t>
      </w:r>
    </w:p>
    <w:p w14:paraId="64A26A9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中非间存在着贸易往来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非洲制瓷业受中国影响</w:t>
      </w:r>
    </w:p>
    <w:p w14:paraId="76B0EF8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中世纪“君主保护市民们不受频繁的战争和封建主任意征收的苛捐杂税的侵害，而市民们则向君主提供财政支援作为报答。”上述现象</w:t>
      </w:r>
    </w:p>
    <w:p w14:paraId="69E772F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有助于欧洲的社会转型</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说明市民成为封建统治的基础</w:t>
      </w:r>
    </w:p>
    <w:p w14:paraId="1B77828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是封建等级制的重要体现</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体现了封君封臣制下的契约关系</w:t>
      </w:r>
    </w:p>
    <w:p w14:paraId="7F4DF3A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hAnsi="宋体" w:cs="宋体"/>
          <w:sz w:val="21"/>
          <w:szCs w:val="21"/>
          <w:lang w:eastAsia="zh-CN"/>
        </w:rPr>
        <w:t>.</w:t>
      </w:r>
      <w:r>
        <w:rPr>
          <w:rFonts w:hint="eastAsia" w:ascii="宋体" w:hAnsi="宋体" w:eastAsia="宋体" w:cs="宋体"/>
          <w:sz w:val="21"/>
          <w:szCs w:val="21"/>
        </w:rPr>
        <w:t>20世纪的考古学家发现，乌干达西部的铁器时代遗址同津巴布韦的铁器时代遗址的相似处非常惊人，这不仅仅是一种偶合，而且可以说（两地的古代文化）是在同一个树干上长出来的。导致两地古代遗址惊人相似的因素最可能是</w:t>
      </w:r>
    </w:p>
    <w:p w14:paraId="7D0809D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班图人的大规模迁徙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阿拉伯人的传教活动</w:t>
      </w:r>
    </w:p>
    <w:p w14:paraId="572278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欧洲国家的殖民侵略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海上丝绸之路的开通</w:t>
      </w:r>
    </w:p>
    <w:p w14:paraId="5C7C964A">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p>
    <w:p w14:paraId="13808670">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537B1E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.阅读材料，完成下列要求。（14分）</w:t>
      </w:r>
    </w:p>
    <w:p w14:paraId="7F323E7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w:t>
      </w:r>
      <w:r>
        <w:rPr>
          <w:rFonts w:hint="eastAsia" w:ascii="宋体" w:hAnsi="宋体" w:eastAsia="宋体" w:cs="宋体"/>
          <w:sz w:val="21"/>
          <w:szCs w:val="21"/>
          <w:lang w:val="en-US" w:eastAsia="zh-CN"/>
        </w:rPr>
        <w:t xml:space="preserve">一 </w:t>
      </w:r>
      <w:r>
        <w:rPr>
          <w:rFonts w:hint="eastAsia" w:ascii="宋体" w:hAnsi="宋体" w:eastAsia="宋体" w:cs="宋体"/>
          <w:sz w:val="21"/>
          <w:szCs w:val="21"/>
          <w:lang w:eastAsia="zh-CN"/>
        </w:rPr>
        <w:t>到15—16世纪之交，美洲等地的文明与欧亚和北非相比，还处于发展的初级阶段。它们的政治组织形式比较松散，主要依靠少数有能力的统治者和军事力量来维持松散的联合，远未形成共同的心理和文化认同。虽然美洲印第安人在相当多的方面取得了令人惊异的成就，比如阿兹特克的城市建设，玛雅人的数学和天文学，但总体来讲，还是比较落后的。比如，全体印第安人都不会使用铁器，主要使用的工具是石器，这大大限制了农业的发展。他们虽然也知道轮子，却只把它作为玩具，交通运输除了使用少数高力外，就靠人力扛运了。印加人则没有成熟的文字，还处于结绳记事的阶段。</w:t>
      </w:r>
    </w:p>
    <w:p w14:paraId="0279E381">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——摘编自周巩固《世界文明史》</w:t>
      </w:r>
    </w:p>
    <w:p w14:paraId="1DBDDA2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w:t>
      </w:r>
      <w:r>
        <w:rPr>
          <w:rFonts w:hint="eastAsia" w:ascii="宋体" w:hAnsi="宋体" w:eastAsia="宋体" w:cs="宋体"/>
          <w:sz w:val="21"/>
          <w:szCs w:val="21"/>
          <w:lang w:val="en-US" w:eastAsia="zh-CN"/>
        </w:rPr>
        <w:t xml:space="preserve">二 </w:t>
      </w:r>
      <w:r>
        <w:rPr>
          <w:rFonts w:hint="eastAsia" w:ascii="宋体" w:hAnsi="宋体" w:eastAsia="宋体" w:cs="宋体"/>
          <w:sz w:val="21"/>
          <w:szCs w:val="21"/>
          <w:lang w:eastAsia="zh-CN"/>
        </w:rPr>
        <w:t>非洲本土（撒哈拉沙漠以南的非洲）“不是一个历史的大陆，它既没有显示出变化，也没有显示出发展”。</w:t>
      </w:r>
    </w:p>
    <w:p w14:paraId="37894F7C">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——黑格尔《历史哲学》</w:t>
      </w:r>
    </w:p>
    <w:p w14:paraId="112D5DC9">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eastAsia="zh-CN"/>
        </w:rPr>
        <w:t>根据材料</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并结合所学知识，指出古代美洲文明发展滞缓的原因。（8分）</w:t>
      </w:r>
    </w:p>
    <w:p w14:paraId="5623D076">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p>
    <w:p w14:paraId="09CF689C">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p>
    <w:p w14:paraId="3AA38987">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p>
    <w:p w14:paraId="7CB4C0DE">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p>
    <w:p w14:paraId="213717AD">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p>
    <w:p w14:paraId="6C5963C5">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p>
    <w:p w14:paraId="60C839B6">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eastAsia="zh-CN"/>
        </w:rPr>
        <w:t>根据材料并结合所学，你怎么看待作者的观点。</w:t>
      </w:r>
      <w:r>
        <w:rPr>
          <w:rFonts w:hint="eastAsia" w:hAnsi="宋体" w:cs="宋体"/>
          <w:sz w:val="21"/>
          <w:szCs w:val="21"/>
          <w:lang w:eastAsia="zh-CN"/>
        </w:rPr>
        <w:t>（</w:t>
      </w:r>
      <w:r>
        <w:rPr>
          <w:rFonts w:hint="eastAsia" w:hAnsi="宋体" w:cs="宋体"/>
          <w:sz w:val="21"/>
          <w:szCs w:val="21"/>
          <w:lang w:val="en-US" w:eastAsia="zh-CN"/>
        </w:rPr>
        <w:t>6分</w:t>
      </w:r>
      <w:bookmarkStart w:id="0" w:name="_GoBack"/>
      <w:bookmarkEnd w:id="0"/>
      <w:r>
        <w:rPr>
          <w:rFonts w:hint="eastAsia" w:hAnsi="宋体" w:cs="宋体"/>
          <w:sz w:val="21"/>
          <w:szCs w:val="21"/>
          <w:lang w:eastAsia="zh-CN"/>
        </w:rPr>
        <w:t>）</w:t>
      </w:r>
    </w:p>
    <w:p w14:paraId="49BBFF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982263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07CC82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459116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34D2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9D39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C2F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1553C60D">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非洲班图人有编筐匠、木匠、铁匠、陶工等，这些工匠“每一个人生产为了自己，同时也为其他的部落成员，陶工给予编筐匠以陶器而得到筐子，裁缝把缝制好的皮口袋供给铁匠而得到铁刀”。这反映了当时班图人</w:t>
      </w:r>
    </w:p>
    <w:p w14:paraId="063A9ECD">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重视手工业技术的改革创新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垄断了东非的商业贸易</w:t>
      </w:r>
    </w:p>
    <w:p w14:paraId="0DBAACEE">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手工业生产呈现商品化趋势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工匠生产分工的专业化</w:t>
      </w:r>
    </w:p>
    <w:p w14:paraId="60D3E76F">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公元6世纪时，亚历山大里亚的商人科斯马斯在书中记载：当游历到东非的阿克苏姆王国时，他遇到了一些当地讲希腊语的居民；他们学习希腊语主要是为了方便与拜占庭商人进行商品交易；毕竟拜占庭帝国作为东方商贸的最大消费者，同样也是阿克苏姆人利润的主要来源。据此可知，阿克苏姆王国</w:t>
      </w:r>
    </w:p>
    <w:p w14:paraId="700345DD">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在希腊化时代的文化交融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直接和东亚进行商品贸易</w:t>
      </w:r>
    </w:p>
    <w:p w14:paraId="75ED5E80">
      <w:pPr>
        <w:pStyle w:val="2"/>
        <w:keepNext w:val="0"/>
        <w:keepLines w:val="0"/>
        <w:pageBreakBefore w:val="0"/>
        <w:tabs>
          <w:tab w:val="left" w:pos="3544"/>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促进津巴布韦国家的兴起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商业活动促进了文化交流</w:t>
      </w:r>
    </w:p>
    <w:p w14:paraId="68E94D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长期以来,欧洲人认为西非是一个“音乐和舞蹈之地”,廷巴克图仅是神秘传说而非一个真实存在的城市。涉及天文学、诗歌等内容的廷巴克图古代手稿被发现后,欧洲学者对其进行保护、分类和学习,现如今的廷巴克图已然成为欧洲人印象中一个历史悠久的城市。这说明</w:t>
      </w:r>
    </w:p>
    <w:p w14:paraId="2292E68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A.廷巴克图是非洲的文化中心</w:t>
      </w:r>
      <w:r>
        <w:rPr>
          <w:rFonts w:hint="eastAsia" w:hAnsi="宋体" w:cs="宋体"/>
          <w:sz w:val="21"/>
          <w:szCs w:val="21"/>
          <w:lang w:val="en-US" w:eastAsia="zh-CN"/>
        </w:rPr>
        <w:t xml:space="preserve">                       </w:t>
      </w:r>
      <w:r>
        <w:rPr>
          <w:rFonts w:hint="eastAsia" w:ascii="宋体" w:hAnsi="宋体" w:eastAsia="宋体" w:cs="宋体"/>
          <w:sz w:val="21"/>
          <w:szCs w:val="21"/>
        </w:rPr>
        <w:t>B.历史研究增进地域文化认知</w:t>
      </w:r>
    </w:p>
    <w:p w14:paraId="1C9B98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C.非洲人在音乐舞蹈领域成就突出</w:t>
      </w:r>
      <w:r>
        <w:rPr>
          <w:rFonts w:hint="eastAsia" w:hAnsi="宋体" w:cs="宋体"/>
          <w:sz w:val="21"/>
          <w:szCs w:val="21"/>
          <w:lang w:val="en-US" w:eastAsia="zh-CN"/>
        </w:rPr>
        <w:t xml:space="preserve">                   </w:t>
      </w:r>
      <w:r>
        <w:rPr>
          <w:rFonts w:hint="eastAsia" w:ascii="宋体" w:hAnsi="宋体" w:eastAsia="宋体" w:cs="宋体"/>
          <w:sz w:val="21"/>
          <w:szCs w:val="21"/>
        </w:rPr>
        <w:t>D.廷巴克图天文学成就突出</w:t>
      </w:r>
    </w:p>
    <w:p w14:paraId="0632B183">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从公元1世纪前后开始,班图人开始向南迁徙,直到19世纪才停止,这一过程对非洲文明产生了巨大的影响。在班图人迁徙的过程中</w:t>
      </w:r>
    </w:p>
    <w:p w14:paraId="76F8E4B5">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A.造就了埃及文明的辉煌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B.培育出了玉米等农作物</w:t>
      </w:r>
    </w:p>
    <w:p w14:paraId="1E0501A5">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C.传播了畜牧业和冶铁技术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D.建立了强大的阿克苏姆王国</w:t>
      </w:r>
    </w:p>
    <w:p w14:paraId="24179D6C">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公元前400年,在铁制农具对非洲大陆社会产生深刻影响之前,撒哈拉沙漠以南非洲的人口仅有大约350万,此后千年,人口数量已经超过1 100万。非洲人口的大规模增长表明</w:t>
      </w:r>
    </w:p>
    <w:p w14:paraId="0CB59AD8">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A.生产工具革新提高了生产力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B.铁器使用是人口增长的前提</w:t>
      </w:r>
    </w:p>
    <w:p w14:paraId="01C57A69">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C.非洲是世界上最早冶铁的地区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D.掌握冶铁技术就能促进人口增长</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A6F781A"/>
    <w:rsid w:val="0F3B4465"/>
    <w:rsid w:val="14D32A68"/>
    <w:rsid w:val="15AF0C1E"/>
    <w:rsid w:val="1FA25FAA"/>
    <w:rsid w:val="27B43702"/>
    <w:rsid w:val="33CC7D86"/>
    <w:rsid w:val="36A4650C"/>
    <w:rsid w:val="49AA660A"/>
    <w:rsid w:val="625E452F"/>
    <w:rsid w:val="65876B37"/>
    <w:rsid w:val="66141F34"/>
    <w:rsid w:val="6B0D4108"/>
    <w:rsid w:val="6B410F2D"/>
    <w:rsid w:val="6CE74E75"/>
    <w:rsid w:val="6DCDD011"/>
    <w:rsid w:val="7B6464DC"/>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3525</Words>
  <Characters>3789</Characters>
  <Lines>0</Lines>
  <Paragraphs>0</Paragraphs>
  <TotalTime>25</TotalTime>
  <ScaleCrop>false</ScaleCrop>
  <LinksUpToDate>false</LinksUpToDate>
  <CharactersWithSpaces>4603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2025-02-25T08:30:49Z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