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813C3">
      <w:pPr>
        <w:pStyle w:val="4"/>
        <w:bidi w:val="0"/>
        <w:jc w:val="center"/>
        <w:rPr>
          <w:rFonts w:hint="eastAsia"/>
          <w:lang w:val="en-US" w:eastAsia="zh-CN"/>
        </w:rPr>
      </w:pPr>
      <w:r>
        <w:rPr>
          <w:rFonts w:hint="eastAsia"/>
          <w:lang w:val="en-US" w:eastAsia="zh-CN"/>
        </w:rPr>
        <w:t>江苏省仪征中学2024-2025高一第二学期第二周周练</w:t>
      </w:r>
    </w:p>
    <w:p w14:paraId="6B8574AE">
      <w:pPr>
        <w:jc w:val="center"/>
        <w:textAlignment w:val="center"/>
        <w:rPr>
          <w:rFonts w:ascii="黑体" w:hAnsi="黑体" w:eastAsia="黑体" w:cs="黑体"/>
          <w:b/>
          <w:i w:val="0"/>
          <w:color w:val="000000"/>
          <w:sz w:val="30"/>
        </w:rPr>
      </w:pPr>
      <w:r>
        <w:rPr>
          <w:rFonts w:ascii="Calibri" w:hAnsi="Calibri" w:eastAsia="Calibri" w:cs="Calibri"/>
          <w:b w:val="0"/>
          <w:i w:val="0"/>
          <w:color w:val="000000"/>
          <w:sz w:val="21"/>
        </w:rPr>
        <w:t>学校:___________姓名：___________班级：___________考号：___________</w:t>
      </w:r>
    </w:p>
    <w:p w14:paraId="1903D013">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p>
    <w:p w14:paraId="5417FA2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pPr>
      <w:r>
        <w:rPr>
          <w:rFonts w:ascii="楷体" w:hAnsi="楷体" w:eastAsia="楷体" w:cs="楷体"/>
          <w:sz w:val="21"/>
        </w:rPr>
        <w:t>人类的生产活动和生活居住深受自然环境的影响，下图为</w:t>
      </w:r>
      <w:r>
        <w:rPr>
          <w:sz w:val="21"/>
        </w:rPr>
        <w:t>“</w:t>
      </w:r>
      <w:r>
        <w:rPr>
          <w:rFonts w:ascii="楷体" w:hAnsi="楷体" w:eastAsia="楷体" w:cs="楷体"/>
          <w:sz w:val="21"/>
        </w:rPr>
        <w:t>世界四个大洲不同海拔的人口密度分布示意图</w:t>
      </w:r>
      <w:r>
        <w:rPr>
          <w:sz w:val="21"/>
        </w:rPr>
        <w:t>”</w:t>
      </w:r>
      <w:r>
        <w:rPr>
          <w:rFonts w:ascii="楷体" w:hAnsi="楷体" w:eastAsia="楷体" w:cs="楷体"/>
          <w:sz w:val="21"/>
        </w:rPr>
        <w:t>，读图，完成下面小题。</w:t>
      </w:r>
    </w:p>
    <w:p w14:paraId="3D51FF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87955" cy="1874520"/>
            <wp:effectExtent l="0" t="0" r="17145" b="11430"/>
            <wp:docPr id="100003" name="图片 100003" descr="@@@62ebcf35-1615-4ba5-99e5-8014ecd0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62ebcf35-1615-4ba5-99e5-8014ecd06443"/>
                    <pic:cNvPicPr>
                      <a:picLocks noChangeAspect="1"/>
                    </pic:cNvPicPr>
                  </pic:nvPicPr>
                  <pic:blipFill>
                    <a:blip r:embed="rId10"/>
                    <a:stretch>
                      <a:fillRect/>
                    </a:stretch>
                  </pic:blipFill>
                  <pic:spPr>
                    <a:xfrm>
                      <a:off x="0" y="0"/>
                      <a:ext cx="2687955" cy="1874520"/>
                    </a:xfrm>
                    <a:prstGeom prst="rect">
                      <a:avLst/>
                    </a:prstGeom>
                  </pic:spPr>
                </pic:pic>
              </a:graphicData>
            </a:graphic>
          </wp:inline>
        </w:drawing>
      </w:r>
    </w:p>
    <w:p w14:paraId="3480B18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1．根据图示信息，分析世界人口分布的趋向以及主导影响因素（</w:t>
      </w:r>
      <w:r>
        <w:rPr>
          <w:rFonts w:ascii="Times New Roman" w:hAnsi="Times New Roman" w:eastAsia="Times New Roman" w:cs="Times New Roman"/>
          <w:kern w:val="0"/>
          <w:sz w:val="24"/>
          <w:szCs w:val="24"/>
        </w:rPr>
        <w:t>   </w:t>
      </w:r>
      <w:r>
        <w:rPr>
          <w:sz w:val="21"/>
        </w:rPr>
        <w:t>）</w:t>
      </w:r>
    </w:p>
    <w:p w14:paraId="4339293D">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A．人口分布趋向于低海拔地区：地形</w:t>
      </w:r>
      <w:r>
        <w:rPr>
          <w:sz w:val="21"/>
        </w:rPr>
        <w:tab/>
      </w:r>
      <w:r>
        <w:rPr>
          <w:sz w:val="21"/>
        </w:rPr>
        <w:t>B．人口分布趋向于高纬地区：气候</w:t>
      </w:r>
    </w:p>
    <w:p w14:paraId="716F26A4">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C．人口分布趋向于沿河流两岸：水源</w:t>
      </w:r>
      <w:r>
        <w:rPr>
          <w:sz w:val="21"/>
        </w:rPr>
        <w:tab/>
      </w:r>
      <w:r>
        <w:rPr>
          <w:sz w:val="21"/>
        </w:rPr>
        <w:t>D．人口分布趋向于沿海地区：土壤</w:t>
      </w:r>
    </w:p>
    <w:p w14:paraId="0A7156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2．关于丁大洲描述正确的是（</w:t>
      </w:r>
      <w:r>
        <w:rPr>
          <w:rFonts w:ascii="Times New Roman" w:hAnsi="Times New Roman" w:eastAsia="Times New Roman" w:cs="Times New Roman"/>
          <w:kern w:val="0"/>
          <w:sz w:val="24"/>
          <w:szCs w:val="24"/>
        </w:rPr>
        <w:t>   </w:t>
      </w:r>
      <w:r>
        <w:rPr>
          <w:sz w:val="21"/>
        </w:rPr>
        <w:t>）</w:t>
      </w:r>
    </w:p>
    <w:p w14:paraId="02E60C9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A．地形单一，海岸线平直，农业机械化水平高</w:t>
      </w:r>
    </w:p>
    <w:p w14:paraId="071647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B．气候类型多样，地形以山地为主，粮食商品率低</w:t>
      </w:r>
    </w:p>
    <w:p w14:paraId="40185D4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C．以平原为主，海洋性气候最为典型，农业人口比重大</w:t>
      </w:r>
    </w:p>
    <w:p w14:paraId="6220314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D．地形中间高、四周低，河流呈放射状，是水稻的主产区</w:t>
      </w:r>
    </w:p>
    <w:p w14:paraId="5E7C641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新加坡被称作“城市国家”。截至</w:t>
      </w:r>
      <w:r>
        <w:rPr>
          <w:sz w:val="21"/>
        </w:rPr>
        <w:t>2018</w:t>
      </w:r>
      <w:r>
        <w:rPr>
          <w:rFonts w:ascii="楷体" w:hAnsi="楷体" w:eastAsia="楷体" w:cs="楷体"/>
          <w:sz w:val="21"/>
        </w:rPr>
        <w:t>年</w:t>
      </w:r>
      <w:r>
        <w:rPr>
          <w:sz w:val="21"/>
        </w:rPr>
        <w:t>12</w:t>
      </w:r>
      <w:r>
        <w:rPr>
          <w:rFonts w:ascii="楷体" w:hAnsi="楷体" w:eastAsia="楷体" w:cs="楷体"/>
          <w:sz w:val="21"/>
        </w:rPr>
        <w:t>月，国土面积约为</w:t>
      </w:r>
      <w:r>
        <w:rPr>
          <w:sz w:val="21"/>
        </w:rPr>
        <w:t>724.4km2</w:t>
      </w:r>
      <w:r>
        <w:rPr>
          <w:rFonts w:ascii="楷体" w:hAnsi="楷体" w:eastAsia="楷体" w:cs="楷体"/>
          <w:sz w:val="21"/>
        </w:rPr>
        <w:t>，总人口约为</w:t>
      </w:r>
      <w:r>
        <w:rPr>
          <w:sz w:val="21"/>
        </w:rPr>
        <w:t>564</w:t>
      </w:r>
      <w:r>
        <w:rPr>
          <w:rFonts w:ascii="楷体" w:hAnsi="楷体" w:eastAsia="楷体" w:cs="楷体"/>
          <w:sz w:val="21"/>
        </w:rPr>
        <w:t>万。完成下面小题。</w:t>
      </w:r>
    </w:p>
    <w:p w14:paraId="6F8DA2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3．制约新加坡资源环境承载力的主要因素是（</w:t>
      </w:r>
      <w:r>
        <w:rPr>
          <w:rFonts w:ascii="Times New Roman" w:hAnsi="Times New Roman" w:eastAsia="Times New Roman" w:cs="Times New Roman"/>
          <w:kern w:val="0"/>
          <w:sz w:val="24"/>
          <w:szCs w:val="24"/>
        </w:rPr>
        <w:t>   </w:t>
      </w:r>
      <w:r>
        <w:rPr>
          <w:sz w:val="21"/>
        </w:rPr>
        <w:t>）</w:t>
      </w:r>
    </w:p>
    <w:p w14:paraId="638B25D2">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A．科技发展水平</w:t>
      </w:r>
      <w:r>
        <w:rPr>
          <w:sz w:val="21"/>
        </w:rPr>
        <w:tab/>
      </w:r>
      <w:r>
        <w:rPr>
          <w:sz w:val="21"/>
        </w:rPr>
        <w:t>B．热量</w:t>
      </w:r>
      <w:r>
        <w:rPr>
          <w:sz w:val="21"/>
        </w:rPr>
        <w:tab/>
      </w:r>
      <w:r>
        <w:rPr>
          <w:sz w:val="21"/>
        </w:rPr>
        <w:t>C．土地和水资源</w:t>
      </w:r>
      <w:r>
        <w:rPr>
          <w:sz w:val="21"/>
        </w:rPr>
        <w:tab/>
      </w:r>
      <w:r>
        <w:rPr>
          <w:sz w:val="21"/>
        </w:rPr>
        <w:t>D．人均消费水平</w:t>
      </w:r>
    </w:p>
    <w:p w14:paraId="4CD8A87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4．新加坡资源环境承载力远高于其周边国家，主要原因是（</w:t>
      </w:r>
      <w:r>
        <w:rPr>
          <w:rFonts w:ascii="Times New Roman" w:hAnsi="Times New Roman" w:eastAsia="Times New Roman" w:cs="Times New Roman"/>
          <w:kern w:val="0"/>
          <w:sz w:val="24"/>
          <w:szCs w:val="24"/>
        </w:rPr>
        <w:t>   </w:t>
      </w:r>
      <w:r>
        <w:rPr>
          <w:sz w:val="21"/>
        </w:rPr>
        <w:t>）</w:t>
      </w:r>
    </w:p>
    <w:p w14:paraId="03721CAD">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A．对外交通便利</w:t>
      </w:r>
      <w:r>
        <w:rPr>
          <w:sz w:val="21"/>
        </w:rPr>
        <w:tab/>
      </w:r>
      <w:r>
        <w:rPr>
          <w:sz w:val="21"/>
        </w:rPr>
        <w:t>B．经济发展水平高</w:t>
      </w:r>
      <w:r>
        <w:rPr>
          <w:sz w:val="21"/>
        </w:rPr>
        <w:tab/>
      </w:r>
      <w:r>
        <w:rPr>
          <w:sz w:val="21"/>
        </w:rPr>
        <w:t>C．矿产资源丰富</w:t>
      </w:r>
      <w:r>
        <w:rPr>
          <w:sz w:val="21"/>
        </w:rPr>
        <w:tab/>
      </w:r>
      <w:r>
        <w:rPr>
          <w:sz w:val="21"/>
        </w:rPr>
        <w:t>D．人均消费水平低</w:t>
      </w:r>
    </w:p>
    <w:p w14:paraId="5492EB64">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国家统计局以户籍人口与乡村人口的差值占户籍人口的比例，测算城乡人口流动水平，该比例越大表示乡村人口向城市流动水平越高。下图示意</w:t>
      </w:r>
      <w:r>
        <w:rPr>
          <w:sz w:val="21"/>
        </w:rPr>
        <w:t>2022</w:t>
      </w:r>
      <w:r>
        <w:rPr>
          <w:rFonts w:ascii="楷体" w:hAnsi="楷体" w:eastAsia="楷体" w:cs="楷体"/>
          <w:sz w:val="21"/>
        </w:rPr>
        <w:t>年安徽省流动人口水平分布情况。据此完成下面小题。</w:t>
      </w:r>
    </w:p>
    <w:p w14:paraId="7BD5B9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91665" cy="1801495"/>
            <wp:effectExtent l="0" t="0" r="13335" b="8255"/>
            <wp:docPr id="100005" name="图片 100005" descr="@@@36a7037d65a64f738bb30a058b5cc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36a7037d65a64f738bb30a058b5cc23d"/>
                    <pic:cNvPicPr>
                      <a:picLocks noChangeAspect="1"/>
                    </pic:cNvPicPr>
                  </pic:nvPicPr>
                  <pic:blipFill>
                    <a:blip r:embed="rId11"/>
                    <a:stretch>
                      <a:fillRect/>
                    </a:stretch>
                  </pic:blipFill>
                  <pic:spPr>
                    <a:xfrm>
                      <a:off x="0" y="0"/>
                      <a:ext cx="1891665" cy="1801495"/>
                    </a:xfrm>
                    <a:prstGeom prst="rect">
                      <a:avLst/>
                    </a:prstGeom>
                  </pic:spPr>
                </pic:pic>
              </a:graphicData>
            </a:graphic>
          </wp:inline>
        </w:drawing>
      </w:r>
    </w:p>
    <w:p w14:paraId="5BF339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5．读图，以下说法正确的是（</w:t>
      </w:r>
      <w:r>
        <w:rPr>
          <w:rFonts w:ascii="Times New Roman" w:hAnsi="Times New Roman" w:eastAsia="Times New Roman" w:cs="Times New Roman"/>
          <w:kern w:val="0"/>
          <w:sz w:val="24"/>
          <w:szCs w:val="24"/>
        </w:rPr>
        <w:t>   </w:t>
      </w:r>
      <w:r>
        <w:rPr>
          <w:sz w:val="21"/>
        </w:rPr>
        <w:t>）</w:t>
      </w:r>
    </w:p>
    <w:p w14:paraId="39093485">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A．皖南地区的经济发展最缓慢</w:t>
      </w:r>
      <w:r>
        <w:rPr>
          <w:sz w:val="21"/>
        </w:rPr>
        <w:tab/>
      </w:r>
      <w:r>
        <w:rPr>
          <w:sz w:val="21"/>
        </w:rPr>
        <w:t>B．皖北地区的人口密度最高</w:t>
      </w:r>
    </w:p>
    <w:p w14:paraId="79D3A220">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C．皖中地区人口流动水平最高</w:t>
      </w:r>
      <w:r>
        <w:rPr>
          <w:sz w:val="21"/>
        </w:rPr>
        <w:tab/>
      </w:r>
      <w:r>
        <w:rPr>
          <w:sz w:val="21"/>
        </w:rPr>
        <w:t>D．人口流动水平整体：皖中&gt;皖北&gt;皖南</w:t>
      </w:r>
    </w:p>
    <w:p w14:paraId="577D5D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6．影响安徽省人口流动水平空间分布格局的主导因素是（</w:t>
      </w:r>
      <w:r>
        <w:rPr>
          <w:rFonts w:ascii="Times New Roman" w:hAnsi="Times New Roman" w:eastAsia="Times New Roman" w:cs="Times New Roman"/>
          <w:kern w:val="0"/>
          <w:sz w:val="24"/>
          <w:szCs w:val="24"/>
        </w:rPr>
        <w:t>   </w:t>
      </w:r>
      <w:r>
        <w:rPr>
          <w:sz w:val="21"/>
        </w:rPr>
        <w:t>）</w:t>
      </w:r>
    </w:p>
    <w:p w14:paraId="682C5394">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A．交通布局</w:t>
      </w:r>
      <w:r>
        <w:rPr>
          <w:sz w:val="21"/>
        </w:rPr>
        <w:tab/>
      </w:r>
      <w:r>
        <w:rPr>
          <w:sz w:val="21"/>
        </w:rPr>
        <w:t>B．自然环境</w:t>
      </w:r>
      <w:r>
        <w:rPr>
          <w:sz w:val="21"/>
        </w:rPr>
        <w:tab/>
      </w:r>
      <w:r>
        <w:rPr>
          <w:sz w:val="21"/>
        </w:rPr>
        <w:t>C．国家政策</w:t>
      </w:r>
      <w:r>
        <w:rPr>
          <w:sz w:val="21"/>
        </w:rPr>
        <w:tab/>
      </w:r>
      <w:r>
        <w:rPr>
          <w:sz w:val="21"/>
        </w:rPr>
        <w:t>D．经济发展</w:t>
      </w:r>
    </w:p>
    <w:p w14:paraId="6C150D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7．缓解安徽省人口流动不均的合理措施是（</w:t>
      </w:r>
      <w:r>
        <w:rPr>
          <w:rFonts w:ascii="Times New Roman" w:hAnsi="Times New Roman" w:eastAsia="Times New Roman" w:cs="Times New Roman"/>
          <w:kern w:val="0"/>
          <w:sz w:val="24"/>
          <w:szCs w:val="24"/>
        </w:rPr>
        <w:t>   </w:t>
      </w:r>
      <w:r>
        <w:rPr>
          <w:sz w:val="21"/>
        </w:rPr>
        <w:t>）</w:t>
      </w:r>
    </w:p>
    <w:p w14:paraId="5E41AAF8">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A．优化资源配置，实现优势互补</w:t>
      </w:r>
      <w:r>
        <w:rPr>
          <w:sz w:val="21"/>
        </w:rPr>
        <w:tab/>
      </w:r>
      <w:r>
        <w:rPr>
          <w:sz w:val="21"/>
        </w:rPr>
        <w:t>B．鼓励生育政策，提高人口素质</w:t>
      </w:r>
    </w:p>
    <w:p w14:paraId="15C807A9">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C．实施移民搬迁，分散城市职能</w:t>
      </w:r>
      <w:r>
        <w:rPr>
          <w:sz w:val="21"/>
        </w:rPr>
        <w:tab/>
      </w:r>
      <w:r>
        <w:rPr>
          <w:sz w:val="21"/>
        </w:rPr>
        <w:t>D．完善交通网络，便于人口流动</w:t>
      </w:r>
    </w:p>
    <w:p w14:paraId="2E8CBBC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sz w:val="21"/>
        </w:rPr>
        <w:t>“</w:t>
      </w:r>
      <w:r>
        <w:rPr>
          <w:rFonts w:ascii="楷体" w:hAnsi="楷体" w:eastAsia="楷体" w:cs="楷体"/>
          <w:sz w:val="21"/>
        </w:rPr>
        <w:t>候鸟人口</w:t>
      </w:r>
      <w:r>
        <w:rPr>
          <w:sz w:val="21"/>
        </w:rPr>
        <w:t>”</w:t>
      </w:r>
      <w:r>
        <w:rPr>
          <w:rFonts w:ascii="楷体" w:hAnsi="楷体" w:eastAsia="楷体" w:cs="楷体"/>
          <w:sz w:val="21"/>
        </w:rPr>
        <w:t>常指进行季节性往返流动的人群。根据迁入地与迁出地相对的冷热状况，将向较高纬度地区迁移的</w:t>
      </w:r>
      <w:r>
        <w:rPr>
          <w:sz w:val="21"/>
        </w:rPr>
        <w:t>“</w:t>
      </w:r>
      <w:r>
        <w:rPr>
          <w:rFonts w:ascii="楷体" w:hAnsi="楷体" w:eastAsia="楷体" w:cs="楷体"/>
          <w:sz w:val="21"/>
        </w:rPr>
        <w:t>候鸟人口</w:t>
      </w:r>
      <w:r>
        <w:rPr>
          <w:sz w:val="21"/>
        </w:rPr>
        <w:t>”</w:t>
      </w:r>
      <w:r>
        <w:rPr>
          <w:rFonts w:ascii="楷体" w:hAnsi="楷体" w:eastAsia="楷体" w:cs="楷体"/>
          <w:sz w:val="21"/>
        </w:rPr>
        <w:t>称为</w:t>
      </w:r>
      <w:r>
        <w:rPr>
          <w:sz w:val="21"/>
        </w:rPr>
        <w:t>“</w:t>
      </w:r>
      <w:r>
        <w:rPr>
          <w:rFonts w:ascii="楷体" w:hAnsi="楷体" w:eastAsia="楷体" w:cs="楷体"/>
          <w:sz w:val="21"/>
        </w:rPr>
        <w:t>太阳鸟</w:t>
      </w:r>
      <w:r>
        <w:rPr>
          <w:sz w:val="21"/>
        </w:rPr>
        <w:t>”</w:t>
      </w:r>
      <w:r>
        <w:rPr>
          <w:rFonts w:ascii="楷体" w:hAnsi="楷体" w:eastAsia="楷体" w:cs="楷体"/>
          <w:sz w:val="21"/>
        </w:rPr>
        <w:t>，向较低纬度地区迁移的</w:t>
      </w:r>
      <w:r>
        <w:rPr>
          <w:sz w:val="21"/>
        </w:rPr>
        <w:t>“</w:t>
      </w:r>
      <w:r>
        <w:rPr>
          <w:rFonts w:ascii="楷体" w:hAnsi="楷体" w:eastAsia="楷体" w:cs="楷体"/>
          <w:sz w:val="21"/>
        </w:rPr>
        <w:t>候鸟人口</w:t>
      </w:r>
      <w:r>
        <w:rPr>
          <w:sz w:val="21"/>
        </w:rPr>
        <w:t>”</w:t>
      </w:r>
      <w:r>
        <w:rPr>
          <w:rFonts w:ascii="楷体" w:hAnsi="楷体" w:eastAsia="楷体" w:cs="楷体"/>
          <w:sz w:val="21"/>
        </w:rPr>
        <w:t>称为</w:t>
      </w:r>
      <w:r>
        <w:rPr>
          <w:sz w:val="21"/>
        </w:rPr>
        <w:t>“</w:t>
      </w:r>
      <w:r>
        <w:rPr>
          <w:rFonts w:ascii="楷体" w:hAnsi="楷体" w:eastAsia="楷体" w:cs="楷体"/>
          <w:sz w:val="21"/>
        </w:rPr>
        <w:t>雪鸟</w:t>
      </w:r>
      <w:r>
        <w:rPr>
          <w:sz w:val="21"/>
        </w:rPr>
        <w:t>”</w:t>
      </w:r>
      <w:r>
        <w:rPr>
          <w:rFonts w:ascii="楷体" w:hAnsi="楷体" w:eastAsia="楷体" w:cs="楷体"/>
          <w:sz w:val="21"/>
        </w:rPr>
        <w:t>。三亚市是重要的</w:t>
      </w:r>
      <w:r>
        <w:rPr>
          <w:sz w:val="21"/>
        </w:rPr>
        <w:t>“</w:t>
      </w:r>
      <w:r>
        <w:rPr>
          <w:rFonts w:ascii="楷体" w:hAnsi="楷体" w:eastAsia="楷体" w:cs="楷体"/>
          <w:sz w:val="21"/>
        </w:rPr>
        <w:t>雪鸟</w:t>
      </w:r>
      <w:r>
        <w:rPr>
          <w:sz w:val="21"/>
        </w:rPr>
        <w:t>”</w:t>
      </w:r>
      <w:r>
        <w:rPr>
          <w:rFonts w:ascii="楷体" w:hAnsi="楷体" w:eastAsia="楷体" w:cs="楷体"/>
          <w:sz w:val="21"/>
        </w:rPr>
        <w:t>迁入地。据此完成下面小题。</w:t>
      </w:r>
    </w:p>
    <w:p w14:paraId="2E7F01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8．在我国，“太阳鸟”和“雪鸟”的主体最可能为（</w:t>
      </w:r>
      <w:r>
        <w:rPr>
          <w:rFonts w:ascii="Times New Roman" w:hAnsi="Times New Roman" w:eastAsia="Times New Roman" w:cs="Times New Roman"/>
          <w:kern w:val="0"/>
          <w:sz w:val="24"/>
          <w:szCs w:val="24"/>
        </w:rPr>
        <w:t>   </w:t>
      </w:r>
      <w:r>
        <w:rPr>
          <w:sz w:val="21"/>
        </w:rPr>
        <w:t>）</w:t>
      </w:r>
    </w:p>
    <w:p w14:paraId="147F9116">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A．农村外出务工人口</w:t>
      </w:r>
      <w:r>
        <w:rPr>
          <w:sz w:val="21"/>
        </w:rPr>
        <w:tab/>
      </w:r>
      <w:r>
        <w:rPr>
          <w:sz w:val="21"/>
        </w:rPr>
        <w:t>B．农村老年人口</w:t>
      </w:r>
      <w:r>
        <w:rPr>
          <w:sz w:val="21"/>
        </w:rPr>
        <w:tab/>
      </w:r>
    </w:p>
    <w:p w14:paraId="23123107">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C．城市外出务工人口</w:t>
      </w:r>
      <w:r>
        <w:rPr>
          <w:sz w:val="21"/>
        </w:rPr>
        <w:tab/>
      </w:r>
      <w:r>
        <w:rPr>
          <w:sz w:val="21"/>
        </w:rPr>
        <w:t>D．城市老年人口</w:t>
      </w:r>
    </w:p>
    <w:p w14:paraId="37EB6C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9．“雪鸟”可能对三亚产生的影响是（</w:t>
      </w:r>
      <w:r>
        <w:rPr>
          <w:rFonts w:ascii="Times New Roman" w:hAnsi="Times New Roman" w:eastAsia="Times New Roman" w:cs="Times New Roman"/>
          <w:kern w:val="0"/>
          <w:sz w:val="24"/>
          <w:szCs w:val="24"/>
        </w:rPr>
        <w:t>   </w:t>
      </w:r>
      <w:r>
        <w:rPr>
          <w:sz w:val="21"/>
        </w:rPr>
        <w:t>）</w:t>
      </w:r>
    </w:p>
    <w:p w14:paraId="42AD76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①人口合理容量增加②促进第三产业发展③加快房屋价格上涨④缓解劳动力的短缺</w:t>
      </w:r>
    </w:p>
    <w:p w14:paraId="632FB868">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sz w:val="21"/>
        </w:rPr>
      </w:pPr>
      <w:r>
        <w:rPr>
          <w:sz w:val="21"/>
        </w:rPr>
        <w:t>A．①③</w:t>
      </w:r>
      <w:r>
        <w:rPr>
          <w:sz w:val="21"/>
        </w:rPr>
        <w:tab/>
      </w:r>
      <w:r>
        <w:rPr>
          <w:sz w:val="21"/>
        </w:rPr>
        <w:t>B．②③</w:t>
      </w:r>
      <w:r>
        <w:rPr>
          <w:sz w:val="21"/>
        </w:rPr>
        <w:tab/>
      </w:r>
      <w:r>
        <w:rPr>
          <w:sz w:val="21"/>
        </w:rPr>
        <w:t>C．①④</w:t>
      </w:r>
      <w:r>
        <w:rPr>
          <w:sz w:val="21"/>
        </w:rPr>
        <w:tab/>
      </w:r>
      <w:r>
        <w:rPr>
          <w:sz w:val="21"/>
        </w:rPr>
        <w:t>D．③④</w:t>
      </w:r>
    </w:p>
    <w:p w14:paraId="35114A5C">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下表是</w:t>
      </w:r>
      <w:r>
        <w:rPr>
          <w:sz w:val="21"/>
        </w:rPr>
        <w:t>X</w:t>
      </w:r>
      <w:r>
        <w:rPr>
          <w:rFonts w:ascii="楷体" w:hAnsi="楷体" w:eastAsia="楷体" w:cs="楷体"/>
          <w:sz w:val="21"/>
        </w:rPr>
        <w:t>、</w:t>
      </w:r>
      <w:r>
        <w:rPr>
          <w:sz w:val="21"/>
        </w:rPr>
        <w:t>Y</w:t>
      </w:r>
      <w:r>
        <w:rPr>
          <w:rFonts w:ascii="楷体" w:hAnsi="楷体" w:eastAsia="楷体" w:cs="楷体"/>
          <w:sz w:val="21"/>
        </w:rPr>
        <w:t>两国部分人口数据资料统计表，据此完成下面小题。</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716"/>
        <w:gridCol w:w="1290"/>
        <w:gridCol w:w="1290"/>
      </w:tblGrid>
      <w:tr w14:paraId="5B4E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8238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088B1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楷体" w:hAnsi="楷体" w:eastAsia="楷体" w:cs="楷体"/>
                <w:sz w:val="21"/>
              </w:rPr>
              <w:t>人口密度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662FF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楷体" w:hAnsi="楷体" w:eastAsia="楷体" w:cs="楷体"/>
                <w:sz w:val="21"/>
              </w:rPr>
              <w:t>人口出生率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39B0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楷体" w:hAnsi="楷体" w:eastAsia="楷体" w:cs="楷体"/>
                <w:sz w:val="21"/>
              </w:rPr>
              <w:t>人口死亡率</w:t>
            </w:r>
          </w:p>
        </w:tc>
      </w:tr>
      <w:tr w14:paraId="49C2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679E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X</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B678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108</w:t>
            </w:r>
            <w:r>
              <w:rPr>
                <w:rFonts w:ascii="楷体" w:hAnsi="楷体" w:eastAsia="楷体" w:cs="楷体"/>
                <w:sz w:val="21"/>
              </w:rPr>
              <w:t>人</w:t>
            </w:r>
            <w:r>
              <w:rPr>
                <w:sz w:val="21"/>
              </w:rPr>
              <w:t>/</w:t>
            </w:r>
            <w:r>
              <w:rPr>
                <w:rFonts w:ascii="楷体" w:hAnsi="楷体" w:eastAsia="楷体" w:cs="楷体"/>
                <w:sz w:val="21"/>
              </w:rPr>
              <w:t>平方千米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9C5E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97F8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w:t>
            </w:r>
          </w:p>
        </w:tc>
      </w:tr>
      <w:tr w14:paraId="7ED3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DFAC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Y</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E21C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275</w:t>
            </w:r>
            <w:r>
              <w:rPr>
                <w:rFonts w:ascii="楷体" w:hAnsi="楷体" w:eastAsia="楷体" w:cs="楷体"/>
                <w:sz w:val="21"/>
              </w:rPr>
              <w:t>人</w:t>
            </w:r>
            <w:r>
              <w:rPr>
                <w:sz w:val="21"/>
              </w:rPr>
              <w:t>/</w:t>
            </w:r>
            <w:r>
              <w:rPr>
                <w:rFonts w:ascii="楷体" w:hAnsi="楷体" w:eastAsia="楷体" w:cs="楷体"/>
                <w:sz w:val="21"/>
              </w:rPr>
              <w:t>平方千米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B7DD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9569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w:t>
            </w:r>
          </w:p>
        </w:tc>
      </w:tr>
    </w:tbl>
    <w:p w14:paraId="5A7C3A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10．与X国人口状况特征相类似的国家主要分布于（</w:t>
      </w:r>
      <w:r>
        <w:rPr>
          <w:rFonts w:ascii="Times New Roman" w:hAnsi="Times New Roman" w:eastAsia="Times New Roman" w:cs="Times New Roman"/>
          <w:kern w:val="0"/>
          <w:sz w:val="24"/>
          <w:szCs w:val="24"/>
        </w:rPr>
        <w:t>   </w:t>
      </w:r>
      <w:r>
        <w:rPr>
          <w:sz w:val="21"/>
        </w:rPr>
        <w:t>）</w:t>
      </w:r>
    </w:p>
    <w:p w14:paraId="4E4C5915">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A．欧洲</w:t>
      </w:r>
      <w:r>
        <w:rPr>
          <w:sz w:val="21"/>
        </w:rPr>
        <w:tab/>
      </w:r>
      <w:r>
        <w:rPr>
          <w:sz w:val="21"/>
        </w:rPr>
        <w:t>B．非洲</w:t>
      </w:r>
      <w:r>
        <w:rPr>
          <w:sz w:val="21"/>
        </w:rPr>
        <w:tab/>
      </w:r>
      <w:r>
        <w:rPr>
          <w:sz w:val="21"/>
        </w:rPr>
        <w:t>C．大洋洲</w:t>
      </w:r>
      <w:r>
        <w:rPr>
          <w:sz w:val="21"/>
        </w:rPr>
        <w:tab/>
      </w:r>
      <w:r>
        <w:rPr>
          <w:sz w:val="21"/>
        </w:rPr>
        <w:t>D．北美洲</w:t>
      </w:r>
    </w:p>
    <w:p w14:paraId="6CD6BFC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11．Y国今后可能出现的问题有（</w:t>
      </w:r>
      <w:r>
        <w:rPr>
          <w:rFonts w:ascii="Times New Roman" w:hAnsi="Times New Roman" w:eastAsia="Times New Roman" w:cs="Times New Roman"/>
          <w:kern w:val="0"/>
          <w:sz w:val="24"/>
          <w:szCs w:val="24"/>
        </w:rPr>
        <w:t>   </w:t>
      </w:r>
      <w:r>
        <w:rPr>
          <w:sz w:val="21"/>
        </w:rPr>
        <w:t>）</w:t>
      </w:r>
    </w:p>
    <w:p w14:paraId="40EB67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①兵员不足②就业压力大③老龄化的速度加快④养老负担重</w:t>
      </w:r>
    </w:p>
    <w:p w14:paraId="4DC8E950">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A．①②③</w:t>
      </w:r>
      <w:r>
        <w:rPr>
          <w:sz w:val="21"/>
        </w:rPr>
        <w:tab/>
      </w:r>
      <w:r>
        <w:rPr>
          <w:sz w:val="21"/>
        </w:rPr>
        <w:t>B．②③④</w:t>
      </w:r>
      <w:r>
        <w:rPr>
          <w:sz w:val="21"/>
        </w:rPr>
        <w:tab/>
      </w:r>
      <w:r>
        <w:rPr>
          <w:sz w:val="21"/>
        </w:rPr>
        <w:t>C．①③④</w:t>
      </w:r>
      <w:r>
        <w:rPr>
          <w:sz w:val="21"/>
        </w:rPr>
        <w:tab/>
      </w:r>
      <w:r>
        <w:rPr>
          <w:sz w:val="21"/>
        </w:rPr>
        <w:t>D．①②④</w:t>
      </w:r>
    </w:p>
    <w:p w14:paraId="522A9BE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sz w:val="21"/>
        </w:rPr>
        <w:t>2025</w:t>
      </w:r>
      <w:r>
        <w:rPr>
          <w:rFonts w:ascii="楷体" w:hAnsi="楷体" w:eastAsia="楷体" w:cs="楷体"/>
          <w:sz w:val="21"/>
        </w:rPr>
        <w:t>年</w:t>
      </w:r>
      <w:r>
        <w:rPr>
          <w:sz w:val="21"/>
        </w:rPr>
        <w:t>1</w:t>
      </w:r>
      <w:r>
        <w:rPr>
          <w:rFonts w:ascii="楷体" w:hAnsi="楷体" w:eastAsia="楷体" w:cs="楷体"/>
          <w:sz w:val="21"/>
        </w:rPr>
        <w:t>月</w:t>
      </w:r>
      <w:r>
        <w:rPr>
          <w:sz w:val="21"/>
        </w:rPr>
        <w:t>1</w:t>
      </w:r>
      <w:r>
        <w:rPr>
          <w:rFonts w:ascii="楷体" w:hAnsi="楷体" w:eastAsia="楷体" w:cs="楷体"/>
          <w:sz w:val="21"/>
        </w:rPr>
        <w:t>日起，我国将用十五年的时间逐步将男职工的法定退休年龄从原六十周岁延迟至六十三周岁，将女职工的法定退休年龄从原五十周岁、五十五周岁分别延迟至五十五周岁、五十八周岁。据此回答下面小题。</w:t>
      </w:r>
    </w:p>
    <w:p w14:paraId="1B0E60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12．我国实施渐进式延迟法定退休年龄的政策有利于（</w:t>
      </w:r>
      <w:r>
        <w:rPr>
          <w:rFonts w:ascii="Times New Roman" w:hAnsi="Times New Roman" w:eastAsia="Times New Roman" w:cs="Times New Roman"/>
          <w:kern w:val="0"/>
          <w:sz w:val="24"/>
          <w:szCs w:val="24"/>
        </w:rPr>
        <w:t>   </w:t>
      </w:r>
      <w:r>
        <w:rPr>
          <w:sz w:val="21"/>
        </w:rPr>
        <w:t>）</w:t>
      </w:r>
    </w:p>
    <w:p w14:paraId="4F628A19">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A．解决人口老龄化问题</w:t>
      </w:r>
      <w:r>
        <w:rPr>
          <w:sz w:val="21"/>
        </w:rPr>
        <w:tab/>
      </w:r>
      <w:r>
        <w:rPr>
          <w:sz w:val="21"/>
        </w:rPr>
        <w:t>B．提高人口的出生率</w:t>
      </w:r>
    </w:p>
    <w:p w14:paraId="6CD067A7">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C．增加青壮年抚养压力</w:t>
      </w:r>
      <w:r>
        <w:rPr>
          <w:sz w:val="21"/>
        </w:rPr>
        <w:tab/>
      </w:r>
      <w:r>
        <w:rPr>
          <w:sz w:val="21"/>
        </w:rPr>
        <w:t>D．充分利用人力资源</w:t>
      </w:r>
    </w:p>
    <w:p w14:paraId="79ADB6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13．面对人口老龄化问题，我国可采取的措施是（</w:t>
      </w:r>
      <w:r>
        <w:rPr>
          <w:rFonts w:ascii="Times New Roman" w:hAnsi="Times New Roman" w:eastAsia="Times New Roman" w:cs="Times New Roman"/>
          <w:kern w:val="0"/>
          <w:sz w:val="24"/>
          <w:szCs w:val="24"/>
        </w:rPr>
        <w:t>   </w:t>
      </w:r>
      <w:r>
        <w:rPr>
          <w:sz w:val="21"/>
        </w:rPr>
        <w:t>）</w:t>
      </w:r>
    </w:p>
    <w:p w14:paraId="15FB83E8">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A．鼓励人口有序地流动</w:t>
      </w:r>
      <w:r>
        <w:rPr>
          <w:sz w:val="21"/>
        </w:rPr>
        <w:tab/>
      </w:r>
      <w:r>
        <w:rPr>
          <w:sz w:val="21"/>
        </w:rPr>
        <w:t>B．大量吸引外国移民</w:t>
      </w:r>
    </w:p>
    <w:p w14:paraId="00974A61">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C．发展劳动密集型工业</w:t>
      </w:r>
      <w:r>
        <w:rPr>
          <w:sz w:val="21"/>
        </w:rPr>
        <w:tab/>
      </w:r>
      <w:r>
        <w:rPr>
          <w:sz w:val="21"/>
        </w:rPr>
        <w:t>D．改革养老保险制度</w:t>
      </w:r>
    </w:p>
    <w:p w14:paraId="41E102BD">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宁夏回族自治区自然环境差异显著，区域内部资源环境</w:t>
      </w:r>
      <w:r>
        <w:rPr>
          <w:sz w:val="21"/>
        </w:rPr>
        <w:t>“</w:t>
      </w:r>
      <w:r>
        <w:rPr>
          <w:rFonts w:ascii="楷体" w:hAnsi="楷体" w:eastAsia="楷体" w:cs="楷体"/>
          <w:sz w:val="21"/>
        </w:rPr>
        <w:t>压力</w:t>
      </w:r>
      <w:r>
        <w:rPr>
          <w:sz w:val="21"/>
        </w:rPr>
        <w:t>-</w:t>
      </w:r>
      <w:r>
        <w:rPr>
          <w:rFonts w:ascii="楷体" w:hAnsi="楷体" w:eastAsia="楷体" w:cs="楷体"/>
          <w:sz w:val="21"/>
        </w:rPr>
        <w:t>承载力</w:t>
      </w:r>
      <w:r>
        <w:rPr>
          <w:sz w:val="21"/>
        </w:rPr>
        <w:t>”</w:t>
      </w:r>
      <w:r>
        <w:rPr>
          <w:rFonts w:ascii="楷体" w:hAnsi="楷体" w:eastAsia="楷体" w:cs="楷体"/>
          <w:sz w:val="21"/>
        </w:rPr>
        <w:t>差异大。读</w:t>
      </w:r>
      <w:r>
        <w:rPr>
          <w:sz w:val="21"/>
        </w:rPr>
        <w:t>“</w:t>
      </w:r>
      <w:r>
        <w:rPr>
          <w:rFonts w:ascii="楷体" w:hAnsi="楷体" w:eastAsia="楷体" w:cs="楷体"/>
          <w:sz w:val="21"/>
        </w:rPr>
        <w:t>宁夏地形与河流分布图和资源环境协调度空间分布图</w:t>
      </w:r>
      <w:r>
        <w:rPr>
          <w:sz w:val="21"/>
        </w:rPr>
        <w:t>”</w:t>
      </w:r>
      <w:r>
        <w:rPr>
          <w:rFonts w:ascii="楷体" w:hAnsi="楷体" w:eastAsia="楷体" w:cs="楷体"/>
          <w:sz w:val="21"/>
        </w:rPr>
        <w:t>，完成下面小题。</w:t>
      </w:r>
    </w:p>
    <w:p w14:paraId="12E8E5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95650" cy="2457450"/>
            <wp:effectExtent l="0" t="0" r="0" b="0"/>
            <wp:docPr id="100007" name="图片 100007" descr="@@@d02eeb8e-a51b-4c97-aed6-f897471a0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02eeb8e-a51b-4c97-aed6-f897471a057a"/>
                    <pic:cNvPicPr>
                      <a:picLocks noChangeAspect="1"/>
                    </pic:cNvPicPr>
                  </pic:nvPicPr>
                  <pic:blipFill>
                    <a:blip r:embed="rId12"/>
                    <a:stretch>
                      <a:fillRect/>
                    </a:stretch>
                  </pic:blipFill>
                  <pic:spPr>
                    <a:xfrm>
                      <a:off x="0" y="0"/>
                      <a:ext cx="3295650" cy="2457450"/>
                    </a:xfrm>
                    <a:prstGeom prst="rect">
                      <a:avLst/>
                    </a:prstGeom>
                  </pic:spPr>
                </pic:pic>
              </a:graphicData>
            </a:graphic>
          </wp:inline>
        </w:drawing>
      </w:r>
    </w:p>
    <w:p w14:paraId="53FE58D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14．宁夏资源环境协调度（</w:t>
      </w:r>
      <w:r>
        <w:rPr>
          <w:rFonts w:ascii="Times New Roman" w:hAnsi="Times New Roman" w:eastAsia="Times New Roman" w:cs="Times New Roman"/>
          <w:kern w:val="0"/>
          <w:sz w:val="24"/>
          <w:szCs w:val="24"/>
        </w:rPr>
        <w:t>   </w:t>
      </w:r>
      <w:r>
        <w:rPr>
          <w:sz w:val="21"/>
        </w:rPr>
        <w:t>）</w:t>
      </w:r>
    </w:p>
    <w:p w14:paraId="3328F561">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A．整体水平较高</w:t>
      </w:r>
      <w:r>
        <w:rPr>
          <w:sz w:val="21"/>
        </w:rPr>
        <w:tab/>
      </w:r>
      <w:r>
        <w:rPr>
          <w:sz w:val="21"/>
        </w:rPr>
        <w:t>B．东部高于西部</w:t>
      </w:r>
      <w:r>
        <w:rPr>
          <w:sz w:val="21"/>
        </w:rPr>
        <w:tab/>
      </w:r>
      <w:r>
        <w:rPr>
          <w:sz w:val="21"/>
        </w:rPr>
        <w:t>C．平原高于山区</w:t>
      </w:r>
      <w:r>
        <w:rPr>
          <w:sz w:val="21"/>
        </w:rPr>
        <w:tab/>
      </w:r>
      <w:r>
        <w:rPr>
          <w:sz w:val="21"/>
        </w:rPr>
        <w:t>D．北部低于南部</w:t>
      </w:r>
    </w:p>
    <w:p w14:paraId="27A945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15．宁夏资源环境失调区的突出“短板”是（</w:t>
      </w:r>
      <w:r>
        <w:rPr>
          <w:rFonts w:ascii="Times New Roman" w:hAnsi="Times New Roman" w:eastAsia="Times New Roman" w:cs="Times New Roman"/>
          <w:kern w:val="0"/>
          <w:sz w:val="24"/>
          <w:szCs w:val="24"/>
        </w:rPr>
        <w:t>   </w:t>
      </w:r>
      <w:r>
        <w:rPr>
          <w:sz w:val="21"/>
        </w:rPr>
        <w:t>）</w:t>
      </w:r>
    </w:p>
    <w:p w14:paraId="0F3C39CD">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80"/>
        <w:jc w:val="left"/>
        <w:textAlignment w:val="center"/>
        <w:rPr>
          <w:sz w:val="21"/>
        </w:rPr>
      </w:pPr>
      <w:r>
        <w:rPr>
          <w:sz w:val="21"/>
        </w:rPr>
        <w:t>A．热量不足</w:t>
      </w:r>
      <w:r>
        <w:rPr>
          <w:sz w:val="21"/>
        </w:rPr>
        <w:tab/>
      </w:r>
      <w:r>
        <w:rPr>
          <w:sz w:val="21"/>
        </w:rPr>
        <w:t>B．水源匮乏</w:t>
      </w:r>
      <w:r>
        <w:rPr>
          <w:sz w:val="21"/>
        </w:rPr>
        <w:tab/>
      </w:r>
      <w:r>
        <w:rPr>
          <w:sz w:val="21"/>
        </w:rPr>
        <w:t>C．土壤贫瘠</w:t>
      </w:r>
      <w:r>
        <w:rPr>
          <w:sz w:val="21"/>
        </w:rPr>
        <w:tab/>
      </w:r>
      <w:r>
        <w:rPr>
          <w:sz w:val="21"/>
        </w:rPr>
        <w:t>D．耕地有限</w:t>
      </w:r>
    </w:p>
    <w:p w14:paraId="3F8E49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16．提升宁夏资源环境协调度的有效措施是（</w:t>
      </w:r>
      <w:r>
        <w:rPr>
          <w:rFonts w:ascii="Times New Roman" w:hAnsi="Times New Roman" w:eastAsia="Times New Roman" w:cs="Times New Roman"/>
          <w:kern w:val="0"/>
          <w:sz w:val="24"/>
          <w:szCs w:val="24"/>
        </w:rPr>
        <w:t>   </w:t>
      </w:r>
      <w:r>
        <w:rPr>
          <w:sz w:val="21"/>
        </w:rPr>
        <w:t>）</w:t>
      </w:r>
    </w:p>
    <w:p w14:paraId="430B1495">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sz w:val="21"/>
        </w:rPr>
      </w:pPr>
      <w:r>
        <w:rPr>
          <w:sz w:val="21"/>
        </w:rPr>
        <w:t>A．提高资源利用效率</w:t>
      </w:r>
      <w:r>
        <w:rPr>
          <w:sz w:val="21"/>
        </w:rPr>
        <w:tab/>
      </w:r>
      <w:r>
        <w:rPr>
          <w:sz w:val="21"/>
        </w:rPr>
        <w:t>B．加大矿产资源开发</w:t>
      </w:r>
    </w:p>
    <w:p w14:paraId="3C347E20">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80"/>
        <w:jc w:val="left"/>
        <w:textAlignment w:val="center"/>
        <w:rPr>
          <w:rFonts w:ascii="黑体" w:hAnsi="黑体" w:eastAsia="黑体" w:cs="黑体"/>
          <w:b/>
          <w:i w:val="0"/>
          <w:color w:val="000000"/>
          <w:sz w:val="30"/>
        </w:rPr>
      </w:pPr>
      <w:r>
        <w:rPr>
          <w:sz w:val="21"/>
        </w:rPr>
        <w:t>C．扩大耕地资源规模</w:t>
      </w:r>
      <w:r>
        <w:rPr>
          <w:sz w:val="21"/>
        </w:rPr>
        <w:tab/>
      </w:r>
      <w:r>
        <w:rPr>
          <w:sz w:val="21"/>
        </w:rPr>
        <w:t>D．降低居民消费水平</w:t>
      </w:r>
    </w:p>
    <w:p w14:paraId="45A235E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b/>
          <w:i w:val="0"/>
          <w:color w:val="000000"/>
          <w:sz w:val="21"/>
        </w:rPr>
      </w:pPr>
      <w:r>
        <w:rPr>
          <w:rFonts w:ascii="宋体" w:hAnsi="宋体" w:eastAsia="宋体" w:cs="宋体"/>
          <w:b/>
          <w:i w:val="0"/>
          <w:color w:val="000000"/>
          <w:sz w:val="21"/>
        </w:rPr>
        <w:t>二、综合题</w:t>
      </w:r>
    </w:p>
    <w:p w14:paraId="1E09F6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17．阅读图文材料，完成下列要求。</w:t>
      </w:r>
    </w:p>
    <w:p w14:paraId="1DA637F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加拿大作为世界上国土面积第二大的国家，全国总人口却不足</w:t>
      </w:r>
      <w:r>
        <w:rPr>
          <w:sz w:val="21"/>
        </w:rPr>
        <w:t>4000</w:t>
      </w:r>
      <w:r>
        <w:rPr>
          <w:rFonts w:ascii="楷体" w:hAnsi="楷体" w:eastAsia="楷体" w:cs="楷体"/>
          <w:sz w:val="21"/>
        </w:rPr>
        <w:t>万人。加拿大统计局</w:t>
      </w:r>
      <w:r>
        <w:rPr>
          <w:sz w:val="21"/>
        </w:rPr>
        <w:t>2022</w:t>
      </w:r>
      <w:r>
        <w:rPr>
          <w:rFonts w:ascii="楷体" w:hAnsi="楷体" w:eastAsia="楷体" w:cs="楷体"/>
          <w:sz w:val="21"/>
        </w:rPr>
        <w:t>年</w:t>
      </w:r>
      <w:r>
        <w:rPr>
          <w:sz w:val="21"/>
        </w:rPr>
        <w:t>10</w:t>
      </w:r>
      <w:r>
        <w:rPr>
          <w:rFonts w:ascii="楷体" w:hAnsi="楷体" w:eastAsia="楷体" w:cs="楷体"/>
          <w:sz w:val="21"/>
        </w:rPr>
        <w:t>月</w:t>
      </w:r>
      <w:r>
        <w:rPr>
          <w:sz w:val="21"/>
        </w:rPr>
        <w:t>26</w:t>
      </w:r>
      <w:r>
        <w:rPr>
          <w:rFonts w:ascii="楷体" w:hAnsi="楷体" w:eastAsia="楷体" w:cs="楷体"/>
          <w:sz w:val="21"/>
        </w:rPr>
        <w:t>日发布</w:t>
      </w:r>
      <w:r>
        <w:rPr>
          <w:sz w:val="21"/>
        </w:rPr>
        <w:t>2021</w:t>
      </w:r>
      <w:r>
        <w:rPr>
          <w:rFonts w:ascii="楷体" w:hAnsi="楷体" w:eastAsia="楷体" w:cs="楷体"/>
          <w:sz w:val="21"/>
        </w:rPr>
        <w:t>年人口普查报告显示，移民约占加拿大总人口的</w:t>
      </w:r>
      <w:r>
        <w:rPr>
          <w:sz w:val="21"/>
        </w:rPr>
        <w:t>1/4</w:t>
      </w:r>
      <w:r>
        <w:rPr>
          <w:rFonts w:ascii="楷体" w:hAnsi="楷体" w:eastAsia="楷体" w:cs="楷体"/>
          <w:sz w:val="21"/>
        </w:rPr>
        <w:t>，有超过</w:t>
      </w:r>
      <w:r>
        <w:rPr>
          <w:sz w:val="21"/>
        </w:rPr>
        <w:t>830</w:t>
      </w:r>
      <w:r>
        <w:rPr>
          <w:rFonts w:ascii="楷体" w:hAnsi="楷体" w:eastAsia="楷体" w:cs="楷体"/>
          <w:sz w:val="21"/>
        </w:rPr>
        <w:t>万人曾经以移民的身份进入加拿大，或申请成为永久居民。下图分别为加拿大人口分布图及北美洲气温分布图。</w:t>
      </w:r>
    </w:p>
    <w:p w14:paraId="3FA314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836670" cy="1955165"/>
            <wp:effectExtent l="0" t="0" r="11430" b="6985"/>
            <wp:docPr id="100009" name="图片 100009" descr="@@@0ab55a329d164990a3f4b9625b899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ab55a329d164990a3f4b9625b8996f4"/>
                    <pic:cNvPicPr>
                      <a:picLocks noChangeAspect="1"/>
                    </pic:cNvPicPr>
                  </pic:nvPicPr>
                  <pic:blipFill>
                    <a:blip r:embed="rId13"/>
                    <a:stretch>
                      <a:fillRect/>
                    </a:stretch>
                  </pic:blipFill>
                  <pic:spPr>
                    <a:xfrm>
                      <a:off x="0" y="0"/>
                      <a:ext cx="3836670" cy="1955165"/>
                    </a:xfrm>
                    <a:prstGeom prst="rect">
                      <a:avLst/>
                    </a:prstGeom>
                  </pic:spPr>
                </pic:pic>
              </a:graphicData>
            </a:graphic>
          </wp:inline>
        </w:drawing>
      </w:r>
    </w:p>
    <w:p w14:paraId="06528AD0">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简述加拿大人口分布特征，并指出影响该国人口分布差异的主要自然因素。</w:t>
      </w:r>
      <w:r>
        <w:rPr>
          <w:rFonts w:hint="eastAsia"/>
          <w:sz w:val="21"/>
          <w:lang w:eastAsia="zh-CN"/>
        </w:rPr>
        <w:t>（</w:t>
      </w:r>
      <w:r>
        <w:rPr>
          <w:rFonts w:hint="eastAsia"/>
          <w:sz w:val="21"/>
          <w:lang w:val="en-US" w:eastAsia="zh-CN"/>
        </w:rPr>
        <w:t>8分</w:t>
      </w:r>
      <w:r>
        <w:rPr>
          <w:rFonts w:hint="eastAsia"/>
          <w:sz w:val="21"/>
          <w:lang w:eastAsia="zh-CN"/>
        </w:rPr>
        <w:t>）</w:t>
      </w:r>
    </w:p>
    <w:p w14:paraId="06A8291D">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08ADB30E">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1E4477EE">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4C5CDB2C">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auto"/>
        <w:ind w:left="0" w:leftChars="0" w:firstLine="0" w:firstLineChars="0"/>
        <w:jc w:val="left"/>
        <w:textAlignment w:val="center"/>
        <w:rPr>
          <w:sz w:val="21"/>
        </w:rPr>
      </w:pPr>
      <w:r>
        <w:rPr>
          <w:sz w:val="21"/>
        </w:rPr>
        <w:t>移民约占加拿大总人口的1/4，说明其对该国的有利影响。</w:t>
      </w:r>
      <w:r>
        <w:rPr>
          <w:rFonts w:hint="eastAsia"/>
          <w:sz w:val="21"/>
          <w:lang w:eastAsia="zh-CN"/>
        </w:rPr>
        <w:t>（</w:t>
      </w:r>
      <w:r>
        <w:rPr>
          <w:rFonts w:hint="eastAsia"/>
          <w:sz w:val="21"/>
          <w:lang w:val="en-US" w:eastAsia="zh-CN"/>
        </w:rPr>
        <w:t>6分</w:t>
      </w:r>
      <w:r>
        <w:rPr>
          <w:rFonts w:hint="eastAsia"/>
          <w:sz w:val="21"/>
          <w:lang w:eastAsia="zh-CN"/>
        </w:rPr>
        <w:t>）</w:t>
      </w:r>
    </w:p>
    <w:p w14:paraId="6BE2A127">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11D5A3A9">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5520290B">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0A019AE7">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auto"/>
        <w:ind w:left="0" w:leftChars="0" w:firstLine="0" w:firstLineChars="0"/>
        <w:jc w:val="left"/>
        <w:textAlignment w:val="center"/>
        <w:rPr>
          <w:sz w:val="21"/>
        </w:rPr>
      </w:pPr>
      <w:r>
        <w:rPr>
          <w:sz w:val="21"/>
        </w:rPr>
        <w:t>近年来，该国越来越多人口迁往五大湖地区，分析其对五大湖周边环境的不利影响。</w:t>
      </w:r>
      <w:r>
        <w:rPr>
          <w:rFonts w:hint="eastAsia"/>
          <w:sz w:val="21"/>
          <w:lang w:eastAsia="zh-CN"/>
        </w:rPr>
        <w:t>（</w:t>
      </w:r>
      <w:r>
        <w:rPr>
          <w:rFonts w:hint="eastAsia"/>
          <w:sz w:val="21"/>
          <w:lang w:val="en-US" w:eastAsia="zh-CN"/>
        </w:rPr>
        <w:t>4分</w:t>
      </w:r>
      <w:r>
        <w:rPr>
          <w:rFonts w:hint="eastAsia"/>
          <w:sz w:val="21"/>
          <w:lang w:eastAsia="zh-CN"/>
        </w:rPr>
        <w:t>）</w:t>
      </w:r>
    </w:p>
    <w:p w14:paraId="4E049120">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57E67F6B">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1065C6EB">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5AAE4779">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1A127ACB">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50E520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18．阅读材料，完成下列要求。</w:t>
      </w:r>
    </w:p>
    <w:p w14:paraId="1A3368BD">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材料一：卡塔尔国土面积约1.15万平方千米，大部分地区为沙漠覆盖，有丰富的石油和天然气资源。2022年最新数据显示，卡塔尔人口数量为288万人，其中卡塔尔本地居民约占15%，外籍人口主要来自印度、巴基斯坦等国家和地区。人口与城市主要分布在沿海地区，其中首都多哈占全国一半以上人口。多哈百年前为渔港与采珠船集中港，目前是波斯湾沿岸的著名港口，卡塔尔的政治、经济、文化、交通中心。有人担心，随着卡塔尔人口增加，当地已经容纳不了那么多人了。</w:t>
      </w:r>
    </w:p>
    <w:p w14:paraId="69B2E2C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jc w:val="left"/>
        <w:textAlignment w:val="center"/>
        <w:rPr>
          <w:sz w:val="21"/>
        </w:rPr>
      </w:pPr>
      <w:r>
        <w:rPr>
          <w:rFonts w:ascii="楷体" w:hAnsi="楷体" w:eastAsia="楷体" w:cs="楷体"/>
          <w:sz w:val="21"/>
        </w:rPr>
        <w:t>材料二：图为卡塔尔位置示意图。</w:t>
      </w:r>
    </w:p>
    <w:p w14:paraId="222A01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24200" cy="2228850"/>
            <wp:effectExtent l="0" t="0" r="0" b="0"/>
            <wp:docPr id="100011" name="图片 100011" descr="@@@ee9ae754540c462da2a0e6ebc9308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e9ae754540c462da2a0e6ebc93086ed"/>
                    <pic:cNvPicPr>
                      <a:picLocks noChangeAspect="1"/>
                    </pic:cNvPicPr>
                  </pic:nvPicPr>
                  <pic:blipFill>
                    <a:blip r:embed="rId14"/>
                    <a:stretch>
                      <a:fillRect/>
                    </a:stretch>
                  </pic:blipFill>
                  <pic:spPr>
                    <a:xfrm>
                      <a:off x="0" y="0"/>
                      <a:ext cx="3124200" cy="2228850"/>
                    </a:xfrm>
                    <a:prstGeom prst="rect">
                      <a:avLst/>
                    </a:prstGeom>
                  </pic:spPr>
                </pic:pic>
              </a:graphicData>
            </a:graphic>
          </wp:inline>
        </w:drawing>
      </w:r>
    </w:p>
    <w:p w14:paraId="00B53CD0">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简述卡塔尔人口主要分布在沿海地区的主要原因。</w:t>
      </w:r>
      <w:r>
        <w:rPr>
          <w:rFonts w:hint="eastAsia"/>
          <w:sz w:val="21"/>
          <w:lang w:eastAsia="zh-CN"/>
        </w:rPr>
        <w:t>（</w:t>
      </w:r>
      <w:r>
        <w:rPr>
          <w:rFonts w:hint="eastAsia"/>
          <w:sz w:val="21"/>
          <w:lang w:val="en-US" w:eastAsia="zh-CN"/>
        </w:rPr>
        <w:t>6分</w:t>
      </w:r>
      <w:r>
        <w:rPr>
          <w:rFonts w:hint="eastAsia"/>
          <w:sz w:val="21"/>
          <w:lang w:eastAsia="zh-CN"/>
        </w:rPr>
        <w:t>）</w:t>
      </w:r>
    </w:p>
    <w:p w14:paraId="2378F055">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5A58E95F">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601F38B0">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30B1F731">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19728171">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40" w:lineRule="auto"/>
        <w:ind w:left="0" w:leftChars="0" w:firstLine="0" w:firstLineChars="0"/>
        <w:jc w:val="left"/>
        <w:textAlignment w:val="center"/>
        <w:rPr>
          <w:sz w:val="21"/>
        </w:rPr>
      </w:pPr>
      <w:r>
        <w:rPr>
          <w:sz w:val="21"/>
        </w:rPr>
        <w:t>简述卡塔尔外来移民主要来自印度、巴基斯坦等国家的主要原因。</w:t>
      </w:r>
      <w:r>
        <w:rPr>
          <w:rFonts w:hint="eastAsia"/>
          <w:sz w:val="21"/>
          <w:lang w:eastAsia="zh-CN"/>
        </w:rPr>
        <w:t>（</w:t>
      </w:r>
      <w:r>
        <w:rPr>
          <w:rFonts w:hint="eastAsia"/>
          <w:sz w:val="21"/>
          <w:lang w:val="en-US" w:eastAsia="zh-CN"/>
        </w:rPr>
        <w:t>6分</w:t>
      </w:r>
      <w:r>
        <w:rPr>
          <w:rFonts w:hint="eastAsia"/>
          <w:sz w:val="21"/>
          <w:lang w:eastAsia="zh-CN"/>
        </w:rPr>
        <w:t>）</w:t>
      </w:r>
    </w:p>
    <w:p w14:paraId="6D06804A">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702936AE">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5BABC9B8">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2890D7FE">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1C12B4D1">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4B1D9EA1">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p>
    <w:p w14:paraId="3920DE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(3)指出限制卡塔尔人口容量的自然因素并围绕该因素提出解决措施。</w:t>
      </w:r>
    </w:p>
    <w:p w14:paraId="529936F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eastAsia="宋体"/>
          <w:sz w:val="21"/>
          <w:lang w:eastAsia="zh-CN"/>
        </w:rPr>
        <w:sectPr>
          <w:footerReference r:id="rId3" w:type="default"/>
          <w:footerReference r:id="rId4" w:type="even"/>
          <w:pgSz w:w="11907" w:h="16839"/>
          <w:pgMar w:top="1440" w:right="1800" w:bottom="1440" w:left="1800" w:header="851" w:footer="425" w:gutter="0"/>
          <w:cols w:space="425" w:num="1" w:sep="1"/>
          <w:docGrid w:type="lines" w:linePitch="312" w:charSpace="0"/>
        </w:sectPr>
      </w:pPr>
      <w:r>
        <w:rPr>
          <w:rFonts w:hint="eastAsia"/>
          <w:sz w:val="21"/>
          <w:lang w:eastAsia="zh-CN"/>
        </w:rPr>
        <w:t>（</w:t>
      </w:r>
      <w:r>
        <w:rPr>
          <w:rFonts w:hint="eastAsia"/>
          <w:sz w:val="21"/>
          <w:lang w:val="en-US" w:eastAsia="zh-CN"/>
        </w:rPr>
        <w:t>6分</w:t>
      </w:r>
      <w:bookmarkStart w:id="0" w:name="_GoBack"/>
      <w:bookmarkEnd w:id="0"/>
      <w:r>
        <w:rPr>
          <w:rFonts w:hint="eastAsia"/>
          <w:sz w:val="21"/>
          <w:lang w:eastAsia="zh-CN"/>
        </w:rPr>
        <w:t>）</w:t>
      </w:r>
    </w:p>
    <w:p w14:paraId="5F7AC800">
      <w:pPr>
        <w:jc w:val="center"/>
        <w:textAlignment w:val="center"/>
        <w:rPr>
          <w:rFonts w:ascii="宋体" w:hAnsi="宋体" w:eastAsia="宋体" w:cs="宋体"/>
          <w:b/>
          <w:i w:val="0"/>
          <w:color w:val="000000"/>
          <w:sz w:val="21"/>
        </w:rPr>
      </w:pPr>
      <w:r>
        <w:rPr>
          <w:rFonts w:ascii="宋体" w:hAnsi="宋体" w:eastAsia="宋体" w:cs="宋体"/>
          <w:b/>
          <w:i w:val="0"/>
          <w:color w:val="000000"/>
          <w:sz w:val="21"/>
        </w:rPr>
        <w:t>《</w:t>
      </w:r>
      <w:r>
        <w:rPr>
          <w:rFonts w:hint="eastAsia" w:ascii="宋体" w:hAnsi="宋体" w:eastAsia="宋体" w:cs="宋体"/>
          <w:b/>
          <w:i w:val="0"/>
          <w:color w:val="000000"/>
          <w:sz w:val="21"/>
          <w:lang w:val="en-US" w:eastAsia="zh-CN"/>
        </w:rPr>
        <w:t>江苏省仪征中学2024-2025高一第二学期第二周周练</w:t>
      </w:r>
      <w:r>
        <w:rPr>
          <w:rFonts w:ascii="宋体" w:hAnsi="宋体" w:eastAsia="宋体" w:cs="宋体"/>
          <w:b/>
          <w:i w:val="0"/>
          <w:color w:val="000000"/>
          <w:sz w:val="21"/>
        </w:rPr>
        <w:t>》参考答案</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09C8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0B5F5BD9">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tcPr>
          <w:p w14:paraId="733246DD">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tcPr>
          <w:p w14:paraId="77C4685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tcPr>
          <w:p w14:paraId="4624E7D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tcPr>
          <w:p w14:paraId="22E5D8C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tcPr>
          <w:p w14:paraId="1C5DAC2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tcPr>
          <w:p w14:paraId="7504AE1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tcPr>
          <w:p w14:paraId="690AFC3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tcPr>
          <w:p w14:paraId="7F986B1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tcPr>
          <w:p w14:paraId="07E3595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tcPr>
          <w:p w14:paraId="5E3128D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5A8D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5FCDEDC2">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tcPr>
          <w:p w14:paraId="2ED6266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14:paraId="48ADCEB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14:paraId="62FD2D6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14:paraId="7754EA5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14:paraId="5DECD802">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14:paraId="2C2E782A">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14:paraId="65252F94">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14:paraId="47A506C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14:paraId="51FEB56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14:paraId="5220909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r>
      <w:tr w14:paraId="77BC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2138AE34">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tcPr>
          <w:p w14:paraId="71404EE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tcPr>
          <w:p w14:paraId="2D45190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tcPr>
          <w:p w14:paraId="132D345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tcPr>
          <w:p w14:paraId="4D5E40AF">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tcPr>
          <w:p w14:paraId="2571305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tcPr>
          <w:p w14:paraId="3D28BDB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16</w:t>
            </w:r>
          </w:p>
        </w:tc>
        <w:tc>
          <w:tcPr>
            <w:tcW w:w="454" w:type="pct"/>
            <w:tcMar>
              <w:top w:w="0" w:type="dxa"/>
              <w:bottom w:w="0" w:type="dxa"/>
            </w:tcMar>
          </w:tcPr>
          <w:p w14:paraId="02B437EB">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14D8E92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0B0ED0D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13A31C2E">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0E57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25FB4632">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tcPr>
          <w:p w14:paraId="630B37F0">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14:paraId="1B13B28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14:paraId="43312BD5">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tcPr>
          <w:p w14:paraId="0A2AD44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tcPr>
          <w:p w14:paraId="18A24C28">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tcPr>
          <w:p w14:paraId="21152763">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tcPr>
          <w:p w14:paraId="46896E47">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130C6766">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1D4548D1">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tcPr>
          <w:p w14:paraId="5564035C">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366972B7">
      <w:pPr>
        <w:jc w:val="center"/>
        <w:textAlignment w:val="center"/>
        <w:rPr>
          <w:rFonts w:ascii="宋体" w:hAnsi="宋体" w:eastAsia="宋体" w:cs="宋体"/>
          <w:b/>
          <w:i w:val="0"/>
          <w:color w:val="000000"/>
          <w:sz w:val="21"/>
        </w:rPr>
      </w:pPr>
    </w:p>
    <w:p w14:paraId="5ED5FC20">
      <w:pPr>
        <w:shd w:val="clear" w:color="auto" w:fill="auto"/>
        <w:spacing w:line="360" w:lineRule="auto"/>
        <w:jc w:val="left"/>
        <w:textAlignment w:val="center"/>
        <w:rPr>
          <w:sz w:val="21"/>
        </w:rPr>
      </w:pPr>
      <w:r>
        <w:rPr>
          <w:sz w:val="21"/>
        </w:rPr>
        <w:t>1．A    2．D</w:t>
      </w:r>
    </w:p>
    <w:p w14:paraId="6223AEC1">
      <w:pPr>
        <w:shd w:val="clear" w:color="auto" w:fill="auto"/>
        <w:spacing w:line="360" w:lineRule="auto"/>
        <w:jc w:val="left"/>
        <w:textAlignment w:val="center"/>
        <w:rPr>
          <w:sz w:val="21"/>
        </w:rPr>
      </w:pPr>
      <w:r>
        <w:rPr>
          <w:sz w:val="21"/>
        </w:rPr>
        <w:t>3．C    4．B</w:t>
      </w:r>
    </w:p>
    <w:p w14:paraId="09413EBC">
      <w:pPr>
        <w:shd w:val="clear" w:color="auto" w:fill="auto"/>
        <w:spacing w:line="360" w:lineRule="auto"/>
        <w:jc w:val="left"/>
        <w:textAlignment w:val="center"/>
        <w:rPr>
          <w:sz w:val="21"/>
        </w:rPr>
      </w:pPr>
      <w:r>
        <w:rPr>
          <w:sz w:val="21"/>
        </w:rPr>
        <w:t>5．C    6．D    7．A</w:t>
      </w:r>
    </w:p>
    <w:p w14:paraId="59E40CD2">
      <w:pPr>
        <w:shd w:val="clear" w:color="auto" w:fill="auto"/>
        <w:spacing w:line="360" w:lineRule="auto"/>
        <w:jc w:val="left"/>
        <w:textAlignment w:val="center"/>
        <w:rPr>
          <w:sz w:val="21"/>
        </w:rPr>
      </w:pPr>
      <w:r>
        <w:rPr>
          <w:sz w:val="21"/>
        </w:rPr>
        <w:t>8．D    9．B</w:t>
      </w:r>
    </w:p>
    <w:p w14:paraId="132671A6">
      <w:pPr>
        <w:shd w:val="clear" w:color="auto" w:fill="auto"/>
        <w:spacing w:line="360" w:lineRule="auto"/>
        <w:jc w:val="left"/>
        <w:textAlignment w:val="center"/>
        <w:rPr>
          <w:sz w:val="21"/>
        </w:rPr>
      </w:pPr>
      <w:r>
        <w:rPr>
          <w:sz w:val="21"/>
        </w:rPr>
        <w:t>10．B    11．C</w:t>
      </w:r>
    </w:p>
    <w:p w14:paraId="63CE5973">
      <w:pPr>
        <w:shd w:val="clear" w:color="auto" w:fill="auto"/>
        <w:spacing w:line="360" w:lineRule="auto"/>
        <w:jc w:val="left"/>
        <w:textAlignment w:val="center"/>
        <w:rPr>
          <w:sz w:val="21"/>
        </w:rPr>
      </w:pPr>
      <w:r>
        <w:rPr>
          <w:sz w:val="21"/>
        </w:rPr>
        <w:t>12．D    13．D</w:t>
      </w:r>
    </w:p>
    <w:p w14:paraId="078B4315">
      <w:pPr>
        <w:shd w:val="clear" w:color="auto" w:fill="auto"/>
        <w:spacing w:line="360" w:lineRule="auto"/>
        <w:jc w:val="left"/>
        <w:textAlignment w:val="center"/>
        <w:rPr>
          <w:sz w:val="21"/>
        </w:rPr>
      </w:pPr>
      <w:r>
        <w:rPr>
          <w:sz w:val="21"/>
        </w:rPr>
        <w:t>14．C    15．B    16．A</w:t>
      </w:r>
    </w:p>
    <w:p w14:paraId="19DE5814">
      <w:pPr>
        <w:shd w:val="clear" w:color="auto" w:fill="auto"/>
        <w:spacing w:line="360" w:lineRule="auto"/>
        <w:jc w:val="left"/>
        <w:textAlignment w:val="center"/>
        <w:rPr>
          <w:sz w:val="21"/>
        </w:rPr>
      </w:pPr>
      <w:r>
        <w:rPr>
          <w:sz w:val="21"/>
        </w:rPr>
        <w:t>17．(1)特征：加拿大总体人口密度小，且分布不均；该国人口主要分布在南部国境线附近地区；北部广大地区分布极为稀少。自然因素：纬度（或热量、温度）。</w:t>
      </w:r>
    </w:p>
    <w:p w14:paraId="705DC583">
      <w:pPr>
        <w:shd w:val="clear" w:color="auto" w:fill="auto"/>
        <w:spacing w:line="360" w:lineRule="auto"/>
        <w:jc w:val="left"/>
        <w:textAlignment w:val="center"/>
        <w:rPr>
          <w:sz w:val="21"/>
        </w:rPr>
      </w:pPr>
      <w:r>
        <w:rPr>
          <w:sz w:val="21"/>
        </w:rPr>
        <w:t>(2)缓解该国劳动力不足，促进经济发展；为该国城镇注入了活力，推动了城镇化进程；丰富本国文化，促进文化多元化；人才的流入，提供了技术和知识支持。</w:t>
      </w:r>
    </w:p>
    <w:p w14:paraId="12E84242">
      <w:pPr>
        <w:shd w:val="clear" w:color="auto" w:fill="auto"/>
        <w:spacing w:line="360" w:lineRule="auto"/>
        <w:jc w:val="left"/>
        <w:textAlignment w:val="center"/>
        <w:rPr>
          <w:sz w:val="21"/>
        </w:rPr>
      </w:pPr>
      <w:r>
        <w:rPr>
          <w:sz w:val="21"/>
        </w:rPr>
        <w:t>(3)加剧五大湖地区人地矛盾，增加生态压力；生活废水排放增多，影响湖区水质。</w:t>
      </w:r>
    </w:p>
    <w:p w14:paraId="5C855FA1">
      <w:pPr>
        <w:shd w:val="clear" w:color="auto" w:fill="auto"/>
        <w:spacing w:line="360" w:lineRule="auto"/>
        <w:jc w:val="left"/>
        <w:textAlignment w:val="center"/>
        <w:rPr>
          <w:sz w:val="21"/>
        </w:rPr>
      </w:pPr>
      <w:r>
        <w:rPr>
          <w:sz w:val="21"/>
        </w:rPr>
        <w:t>18．(1)卡塔尔气候全年炎热干燥，沿海地区气候相对凉爽湿润，适宜人类居住；沿海地区地形平坦；地处沿海，海运便利，便于对外交往与联系。</w:t>
      </w:r>
    </w:p>
    <w:p w14:paraId="05C3525F">
      <w:pPr>
        <w:shd w:val="clear" w:color="auto" w:fill="auto"/>
        <w:spacing w:line="360" w:lineRule="auto"/>
        <w:jc w:val="left"/>
        <w:textAlignment w:val="center"/>
        <w:rPr>
          <w:sz w:val="21"/>
        </w:rPr>
      </w:pPr>
      <w:r>
        <w:rPr>
          <w:sz w:val="21"/>
        </w:rPr>
        <w:t>(2)卡塔尔经济发达，就业机会多(或印度、巴基斯坦、东南亚等国家和地区经济落后，居民经济收入低)；卡塔尔人均收入高，部分产业对本国劳动力缺乏吸引力；印度、巴基斯坦东南亚等国家和地区距卡塔尔较近。</w:t>
      </w:r>
    </w:p>
    <w:p w14:paraId="2973D75A">
      <w:pPr>
        <w:shd w:val="clear" w:color="auto" w:fill="auto"/>
        <w:spacing w:line="360" w:lineRule="auto"/>
        <w:jc w:val="left"/>
        <w:textAlignment w:val="center"/>
        <w:rPr>
          <w:sz w:val="21"/>
        </w:rPr>
      </w:pPr>
      <w:r>
        <w:rPr>
          <w:sz w:val="21"/>
        </w:rPr>
        <w:t>(3)卡塔尔属于热带沙漠气候，降水少，水资源是制约卡塔尔环境人口容量的自然因素。海水淡化、回收再利用水资源、节约用水、发展节水农业工业等。</w:t>
      </w:r>
    </w:p>
    <w:p w14:paraId="59BC7F59">
      <w:pPr>
        <w:shd w:val="clear" w:color="auto" w:fill="auto"/>
        <w:spacing w:line="360" w:lineRule="auto"/>
        <w:jc w:val="left"/>
        <w:textAlignment w:val="center"/>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17852">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25237">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87C43">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056A2">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13A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5DF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566297"/>
    <w:multiLevelType w:val="singleLevel"/>
    <w:tmpl w:val="F6566297"/>
    <w:lvl w:ilvl="0" w:tentative="0">
      <w:start w:val="1"/>
      <w:numFmt w:val="decimal"/>
      <w:lvlText w:val="(%1)"/>
      <w:lvlJc w:val="left"/>
      <w:pPr>
        <w:tabs>
          <w:tab w:val="left" w:pos="312"/>
        </w:tabs>
      </w:pPr>
    </w:lvl>
  </w:abstractNum>
  <w:abstractNum w:abstractNumId="1">
    <w:nsid w:val="F6D22114"/>
    <w:multiLevelType w:val="singleLevel"/>
    <w:tmpl w:val="F6D22114"/>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33B13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sz w:val="18"/>
      <w:szCs w:val="18"/>
    </w:rPr>
  </w:style>
  <w:style w:type="character" w:customStyle="1" w:styleId="10">
    <w:name w:val="页脚 Char"/>
    <w:basedOn w:val="8"/>
    <w:link w:val="5"/>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5</Pages>
  <Words>2672</Words>
  <Characters>2826</Characters>
  <Lines>0</Lines>
  <Paragraphs>0</Paragraphs>
  <TotalTime>7</TotalTime>
  <ScaleCrop>false</ScaleCrop>
  <LinksUpToDate>false</LinksUpToDate>
  <CharactersWithSpaces>2957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野心</cp:lastModifiedBy>
  <dcterms:modified xsi:type="dcterms:W3CDTF">2025-02-19T10:32:48Z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8274a7c7002f41dfb8ac43aadeb3c5f1ndu0mty4mda</vt:lpwstr>
  </property>
  <property fmtid="{D5CDD505-2E9C-101B-9397-08002B2CF9AE}" pid="4" name="KSOTemplateDocerSaveRecord">
    <vt:lpwstr>eyJoZGlkIjoiOTIwZTIzNTMyOGVhYmVkZWI0ZGRhNDAwNjBlYWMzYjUiLCJ1c2VySWQiOiIzMTQyMjc3OTAifQ==</vt:lpwstr>
  </property>
  <property fmtid="{D5CDD505-2E9C-101B-9397-08002B2CF9AE}" pid="5" name="KSOProductBuildVer">
    <vt:lpwstr>2052-12.1.0.19770</vt:lpwstr>
  </property>
  <property fmtid="{D5CDD505-2E9C-101B-9397-08002B2CF9AE}" pid="6" name="ICV">
    <vt:lpwstr>1DADA7C20AF544FE9D00E8FD32DD9E0F_13</vt:lpwstr>
  </property>
</Properties>
</file>