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135" w:type="dxa"/>
            <w:gridSpan w:val="2"/>
            <w:tcBorders>
              <w:top w:val="nil"/>
              <w:left w:val="nil"/>
              <w:bottom w:val="nil"/>
              <w:right w:val="nil"/>
            </w:tcBorders>
          </w:tcPr>
          <w:p>
            <w:pPr>
              <w:pStyle w:val="6"/>
              <w:rPr>
                <w:sz w:val="44"/>
              </w:rPr>
            </w:pPr>
          </w:p>
          <w:p>
            <w:pPr>
              <w:pStyle w:val="6"/>
              <w:jc w:val="center"/>
              <w:rPr>
                <w:rFonts w:hint="eastAsia"/>
                <w:b/>
                <w:bCs/>
                <w:sz w:val="52"/>
                <w:szCs w:val="36"/>
                <w:lang w:val="en-US" w:eastAsia="zh-CN"/>
              </w:rPr>
            </w:pPr>
          </w:p>
          <w:p>
            <w:pPr>
              <w:pStyle w:val="6"/>
              <w:jc w:val="center"/>
              <w:rPr>
                <w:rFonts w:hint="eastAsia"/>
                <w:b/>
                <w:bCs/>
                <w:sz w:val="52"/>
                <w:szCs w:val="36"/>
                <w:lang w:val="en-US" w:eastAsia="zh-CN"/>
              </w:rPr>
            </w:pPr>
          </w:p>
          <w:p>
            <w:pPr>
              <w:pStyle w:val="6"/>
              <w:jc w:val="center"/>
              <w:rPr>
                <w:rFonts w:hint="eastAsia"/>
                <w:b/>
                <w:bCs/>
                <w:sz w:val="52"/>
                <w:szCs w:val="36"/>
                <w:lang w:val="en-US" w:eastAsia="zh-CN"/>
              </w:rPr>
            </w:pPr>
          </w:p>
          <w:p>
            <w:pPr>
              <w:pStyle w:val="6"/>
              <w:jc w:val="center"/>
              <w:rPr>
                <w:rFonts w:hint="eastAsia"/>
                <w:b/>
                <w:bCs/>
                <w:sz w:val="52"/>
                <w:szCs w:val="36"/>
                <w:lang w:val="en-US" w:eastAsia="zh-CN"/>
              </w:rPr>
            </w:pPr>
            <w:r>
              <w:rPr>
                <w:rFonts w:hint="eastAsia"/>
                <w:b/>
                <w:bCs/>
                <w:sz w:val="52"/>
                <w:szCs w:val="36"/>
                <w:lang w:val="en-US" w:eastAsia="zh-CN"/>
              </w:rPr>
              <w:t>核心素养导向下大历史观在高中历史</w:t>
            </w:r>
          </w:p>
          <w:p>
            <w:pPr>
              <w:pStyle w:val="6"/>
              <w:jc w:val="center"/>
              <w:rPr>
                <w:rFonts w:hint="default"/>
                <w:sz w:val="44"/>
                <w:lang w:val="en-US" w:eastAsia="zh-CN"/>
              </w:rPr>
            </w:pPr>
            <w:r>
              <w:rPr>
                <w:rFonts w:hint="eastAsia"/>
                <w:b/>
                <w:bCs/>
                <w:sz w:val="52"/>
                <w:szCs w:val="36"/>
                <w:lang w:val="en-US" w:eastAsia="zh-CN"/>
              </w:rPr>
              <w:t>教学中的运用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5" w:type="dxa"/>
            <w:gridSpan w:val="2"/>
            <w:tcBorders>
              <w:top w:val="nil"/>
              <w:left w:val="nil"/>
              <w:bottom w:val="single" w:color="auto" w:sz="4" w:space="0"/>
              <w:right w:val="nil"/>
            </w:tcBorders>
          </w:tcPr>
          <w:p>
            <w:pPr>
              <w:pStyle w:val="7"/>
              <w:rPr>
                <w:rFonts w:hint="eastAsia" w:eastAsia="宋体"/>
                <w:color w:val="000000"/>
                <w:lang w:eastAsia="zh-CN"/>
              </w:rPr>
            </w:pPr>
          </w:p>
          <w:p>
            <w:pPr>
              <w:pStyle w:val="7"/>
              <w:rPr>
                <w:rFonts w:hint="eastAsia" w:eastAsia="宋体"/>
                <w:color w:val="000000"/>
                <w:lang w:eastAsia="zh-CN"/>
              </w:rPr>
            </w:pPr>
          </w:p>
          <w:p>
            <w:pPr>
              <w:pStyle w:val="7"/>
              <w:rPr>
                <w:b/>
                <w:color w:val="000000"/>
              </w:rPr>
            </w:pPr>
          </w:p>
          <w:p>
            <w:pPr>
              <w:pStyle w:val="7"/>
              <w:rPr>
                <w:b/>
                <w:color w:val="000000"/>
              </w:rPr>
            </w:pPr>
          </w:p>
          <w:p>
            <w:pPr>
              <w:pStyle w:val="7"/>
              <w:rPr>
                <w:b/>
                <w:color w:val="000000"/>
              </w:rPr>
            </w:pPr>
          </w:p>
          <w:p>
            <w:pPr>
              <w:pStyle w:val="7"/>
              <w:jc w:val="both"/>
              <w:rPr>
                <w:b/>
                <w:color w:val="000000"/>
              </w:rPr>
            </w:pPr>
          </w:p>
          <w:p>
            <w:pPr>
              <w:pStyle w:val="7"/>
              <w:jc w:val="both"/>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pPr>
            <w:r>
              <w:rPr>
                <w:rFonts w:hint="eastAsia"/>
                <w:lang w:val="en-US" w:eastAsia="zh-CN"/>
              </w:rPr>
              <w:t>姓    名</w:t>
            </w:r>
            <w:r>
              <w:rPr>
                <w:rFonts w:hint="eastAsia"/>
              </w:rPr>
              <w:t>：</w:t>
            </w:r>
          </w:p>
        </w:tc>
        <w:tc>
          <w:tcPr>
            <w:tcW w:w="6119"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default"/>
                <w:spacing w:val="20"/>
                <w:lang w:val="en-US"/>
              </w:rPr>
            </w:pPr>
            <w:r>
              <w:rPr>
                <w:rFonts w:hint="eastAsia"/>
                <w:spacing w:val="20"/>
                <w:lang w:val="en-US" w:eastAsia="zh-CN"/>
              </w:rPr>
              <w:t>乐庆康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pPr>
            <w:r>
              <w:rPr>
                <w:rFonts w:hint="eastAsia"/>
                <w:lang w:val="en-US" w:eastAsia="zh-CN"/>
              </w:rPr>
              <w:t>单    位</w:t>
            </w:r>
            <w:r>
              <w:rPr>
                <w:rFonts w:hint="eastAsia"/>
              </w:rPr>
              <w:t>：</w:t>
            </w:r>
          </w:p>
        </w:tc>
        <w:tc>
          <w:tcPr>
            <w:tcW w:w="6119"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default" w:eastAsia="宋体"/>
                <w:lang w:val="en-US" w:eastAsia="zh-CN"/>
              </w:rPr>
            </w:pPr>
            <w:r>
              <w:rPr>
                <w:rFonts w:hint="eastAsia"/>
                <w:lang w:val="en-US" w:eastAsia="zh-CN"/>
              </w:rPr>
              <w:t>宣城市第十三中学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pPr>
            <w:r>
              <w:rPr>
                <w:rFonts w:hint="eastAsia"/>
                <w:lang w:val="en-US" w:eastAsia="zh-CN"/>
              </w:rPr>
              <w:t>联系方式</w:t>
            </w:r>
            <w:r>
              <w:rPr>
                <w:rFonts w:hint="eastAsia"/>
              </w:rPr>
              <w:t>：</w:t>
            </w:r>
          </w:p>
        </w:tc>
        <w:tc>
          <w:tcPr>
            <w:tcW w:w="6119"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default" w:eastAsia="宋体"/>
                <w:lang w:val="en-US" w:eastAsia="zh-CN"/>
              </w:rPr>
            </w:pPr>
            <w:r>
              <w:rPr>
                <w:rFonts w:hint="eastAsia"/>
                <w:lang w:val="en-US" w:eastAsia="zh-CN"/>
              </w:rPr>
              <w:t>18256606216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pPr>
            <w:r>
              <w:rPr>
                <w:rFonts w:hint="eastAsia"/>
                <w:lang w:val="en-US" w:eastAsia="zh-CN"/>
              </w:rPr>
              <w:t>电子邮箱</w:t>
            </w:r>
            <w:r>
              <w:rPr>
                <w:rFonts w:hint="eastAsia"/>
              </w:rPr>
              <w:t>：</w:t>
            </w:r>
          </w:p>
        </w:tc>
        <w:tc>
          <w:tcPr>
            <w:tcW w:w="6119"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default" w:eastAsia="宋体"/>
                <w:lang w:val="en-US" w:eastAsia="zh-CN"/>
              </w:rPr>
            </w:pPr>
            <w:r>
              <w:rPr>
                <w:rFonts w:hint="eastAsia"/>
                <w:lang w:val="en-US" w:eastAsia="zh-CN"/>
              </w:rPr>
              <w:t>1599216988@qq.com</w:t>
            </w:r>
          </w:p>
        </w:tc>
      </w:tr>
    </w:tbl>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核心素养导向下大历史观在高中历史</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教学中的运用</w:t>
      </w:r>
    </w:p>
    <w:p>
      <w:pPr>
        <w:jc w:val="cente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摘要</w:t>
      </w:r>
      <w:r>
        <w:rPr>
          <w:rFonts w:hint="eastAsia" w:ascii="仿宋" w:hAnsi="仿宋" w:eastAsia="仿宋" w:cs="仿宋"/>
          <w:sz w:val="32"/>
          <w:szCs w:val="32"/>
          <w:lang w:val="en-US" w:eastAsia="zh-CN"/>
        </w:rPr>
        <w:t>：近年来，习近平总书记频频提起大历史观的重要性，也引起了学界关于大历史观的广泛讨论。历史学意义上的大历史观，推崇者主要是黄仁宇和吴于廑两位历史学家，他们对大历史观的思考启发了高中历史课堂教学过程中关于大历史观的培养与运用，如何利用大历史观培养学生的历史学科核心素养，帮助学生树立正确的历史观念，是当前高中历史课堂教学的需要思考的。本文从视角、方法和唯物史观三个方面，探讨大历史观在中学历史教学过程中的培养和运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关键词</w:t>
      </w:r>
      <w:r>
        <w:rPr>
          <w:rFonts w:hint="eastAsia" w:ascii="仿宋" w:hAnsi="仿宋" w:eastAsia="仿宋" w:cs="仿宋"/>
          <w:sz w:val="32"/>
          <w:szCs w:val="32"/>
          <w:lang w:val="en-US" w:eastAsia="zh-CN"/>
        </w:rPr>
        <w:t>：高中历史；历史教学；大历史观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一轮高中历史课程改革，提出了以培养和提高学生的历史学科核心素养为核心的课程与教学新理念。历史学科的核心素养包括唯物史观、时空观念、史料实证、历史解释和家国情怀。在新课改的指引下，高中历史教学的过程中应注重培养学生的核心素养，以引导学生形成正确的历史观。高中历史教材在编纂的过程中，体现出整体史观、文明史观、现代化史观、社会史观、革命史观、唯物史观、生态史观和多元史观的培养与应用。以上八大史观，是高中历史教学过程中的方向标。然而，若要在纷繁复杂的历史脉络中把握这一方向，即使对历史学家来说也并非易事。因此，越来越多的学者和一线教师提出，在历史教学的过程中，应把握大历史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何谓大历史观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总书记曾指出：树立大历史观，从历史长河、时代大潮、全球风云中分析演变机理、探究历史规律，提出因应的战略策略，增强工作的系统性、预见性、创造性。最为人所熟知的“大历史观”，莫过于黄仁宇所著的《中国大历史》。他在此书的序言中解释：“中国过去一百五十年内经过人类历史上规模最大的一次革命，从一个闭关自守中世纪的国家蜕变而为一个现代国家，影响到十亿人口的思想信仰、婚姻教育与衣食住行，其情形不容许我们用寻常的尺度衡量。”</w:t>
      </w:r>
      <w:r>
        <w:rPr>
          <w:rFonts w:hint="eastAsia" w:ascii="仿宋" w:hAnsi="仿宋" w:eastAsia="仿宋" w:cs="仿宋"/>
          <w:sz w:val="32"/>
          <w:szCs w:val="32"/>
          <w:lang w:val="en-US" w:eastAsia="zh-CN"/>
        </w:rPr>
        <w:footnoteReference w:id="0"/>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大历史》的书写结构，与其另一本代表作《万历十五年》截然相反，后者以万历十五年作为切入视角，见微知著的探讨明代整个时段的历史发展，而《中国大历史》则相当宏观，从中华民族自诞生直至作者所属的时代，只撷取作者认为对历史的发展有重大影响的要素进行探讨。从黄仁宇的角度看来，大历史（macro-history）即以现有的史料高度压缩后，将区域史视作整体，以技术的发展为线索进行历史研究。这一思路与汤因比的著作《历史研究》类似，与之不同的是，汤因比的着眼点囊括了技术、文明和变革，可以说明，区域性或全球性的大历史观在历史学家的著述中已经得到实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另一提倡大历史观的史学家是吴于廑，他曾以“置身须向极高处，放眼通观大世间”概括自己的治学理念。与黄仁宇的大历史观不同，吴于廑的大历史观不强调以技术发展为研究线索，也不注重对史料的提炼与压缩，而是强调治史的视角应该“置身高地”。所谓登高望远，吴于廑认为，“眼在远处，手在近处。视野要开阔，研究要具体。”</w:t>
      </w:r>
      <w:r>
        <w:rPr>
          <w:rFonts w:hint="eastAsia" w:ascii="仿宋" w:hAnsi="仿宋" w:eastAsia="仿宋" w:cs="仿宋"/>
          <w:sz w:val="32"/>
          <w:szCs w:val="32"/>
          <w:lang w:val="en-US" w:eastAsia="zh-CN"/>
        </w:rPr>
        <w:footnoteReference w:id="1"/>
      </w:r>
      <w:r>
        <w:rPr>
          <w:rFonts w:hint="eastAsia" w:ascii="仿宋" w:hAnsi="仿宋" w:eastAsia="仿宋" w:cs="仿宋"/>
          <w:sz w:val="32"/>
          <w:szCs w:val="32"/>
          <w:lang w:val="en-US" w:eastAsia="zh-CN"/>
        </w:rPr>
        <w:t>若将历史比喻成一条河流，流淌在其中的泳者无法区分哪一段是笔直的、哪一段是曲折的，只有置身高楼往下看，才能掌握河流的整体变化，明确值得研究的块垒在哪里，从而攻破。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样是享誉世界的历史学家，黄仁宇研究中国史，吴于廑研究世界史，却都在研究过程中强调大历史观的重要性，这是历史学家的使命决定的。司马迁言：究天人之际，通古今之变，成一家之言。（《史记》）历史学家承担的，是探索人类社会文明发展的一般规律的使命。在高中历史教学的过程中，应当注重两种大历史观的结合，既要培养学生凝练史料、总结时代特征的能力，又要注重对历史时期宏观视角的解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大历史观的培养与运用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中阶段的历史教学有其鲜明的阶段性特征。首先，学生在高中历史课堂的学习任务，不仅在于掌握基础史实，还在于通过对历史学科的学习，沉淀人文底蕴和科学精神，能够理性的看待人类社会的发展变化。其次，传统人文学科在教学过程中容易忽视学生的主观能动性，缺少对答案的推理探索过程，导致学生依赖于背诵、套模板。最后，高中历史课堂时间有限，历史教学不能局限于阶段性的学习知识，还要有意识地养成学生对历史学的学习兴趣，打下终身学习的基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因此，结合新课标、新教材，高中历史教学过程中对大历史观的培养与运用可以从以下几点出发。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国际视阈下的历史解读。一些教师在教学过程中常常将大历史观与全球史观相混淆，实际上，全球史观是将整个人类社会作为整体来看待，在新航路开辟前，世界各地处于孤立分散的状态，就难以用全球史观去解读。而大历史观则是提供看待、分析历史事实的宏观角度。近年来，人类命运共同体一词频繁在各大会议上被提起。人类命运共同体并非在近百年来骤然形成，而是自人类文明诞生之处就有千丝万缕的联系。不同环境孕育了不同的文明成果，从大河到海洋，从山川到平原，最终呈现出缤纷的人类社会。因此，在高中历史教学的过程中，对比同一时段不同文明的发展状况，可以更好的帮助学生运用大历史观解读历史时期，尤其是在基础史实已经掌握以后，通过强调对比文明的异同，更能体现人类社会的阶段特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如，在历史教学的过程中，春秋战国时期百家争鸣的教学一向是重点内容，如果只从百家争鸣的内容、影响等角度传递知识，对于学生思维的开拓程度相当有限。但联系上雅斯贝尔斯的轴心时代观点，与几乎处于同一历史时段的印度、希腊相联系，将百家争鸣与印度教佛教的诞生、智者学派与哲学家的思辨相联系，则视野更加开拓，也容易将孔子、释加牟尼、苏格拉底等对人类思想史有重要推动作用的人物进行对比和联系，分析他们的思想形成的原因，归纳东方、印度、西方在历史发展过程中呈现迥异姿态的思想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重视运用多学科的手段和方法解决问题。历史地理由于其综合了历史与地理两大学科，运用难度较大，在高中历史教学的过程中，教师对历史地理的运用时常局限于教材附带的地图，没有真正发挥其作用。古人对宇宙的解释即上下四方和古往今来，上下四方即地理概念，古往今来即历史概念，历史地理本身是涵盖了时间与空间两大坐标的学科，恰当运用历史地理的技能，可以可视化地呈现诸多问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如，运用地理信息系统，结合绘图技术，可以在地形图上呈现战争、都城、山川河流、道路交通等信息。在解释魏晋南北朝这段复杂交错的历史时期时，教师结合历史地理的技术，可以清晰地展示如淝水之战的位置、南北方人口密度的对比、南方门阀势力的分布情况等，让错综的历史直观的表达，从而引导学生思考，为什么淝水之战前秦会战败、为什么魏晋南北朝时期南方得到充分开发，为什么南方门阀势力能够强大。</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历史学科本身具有较强的综合性，囊括经济学、社会学、人类学等多个思考维度。大历史观就是要帮助学生既要看到历史事实，又能主动结合其他因素解读史实，从而形成学科核心素养，能够自主探索和思考问题。一些特定历史时期的艺术产物其实也涵盖了当时人们的思想和生活，，在导入课堂的过程中，可以将具有吸引力的艺术品，如以断臂维纳斯导入希腊哲学，以长信宫灯导入两汉科学技术等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三，唯物史观与大历史观的结合。高中历史教学的最终目的在于形成全面发展的人。历史观须和人生观、世界观相结合，课堂教学最终要落到社会实践之中。因此，以马克思主义历史观为指导的高中历史课堂教学，在教学过程中应当注重唯物史观与大历史观的结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中历史课堂教学注重历史事实之间的内在逻辑，但教师在教学过程中若过于强调事件之间的内部联系，容易忽略历史发展必然趋势的影响。举个例子，高中历史教学过程中，对于帝王将相等人物的认识和理解向来是重点，一些学生在学习过程中难免将帝王将相和英雄人物过于放大，比如将秦朝的建立视作秦始皇个人的功利，将贞观之治视作唐太宗个人的功利。或者在理解“转折点”一类的词语时，认为没有这一事件的发生，就绝不会有后续事件的发生，如没有安史之乱唐朝就不会由盛转衰，没有辛亥革命清王朝就不会灭亡等等。这些误区的形成，在于放大了个别人物在历史潮流中的作用，将历史发展的规律简单理解成“蝴蝶效应”，忽略了历史的主体是人民群众，忽略了历史的发展方向是人民群众的选择。</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总结</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梁启超在《中国历史研究法》中所言：“凡史迹皆人类过去活动之僵迹也，史家能事，乃在将僵迹变为活化——因其结果以推得其情态，使过去时代之现在相，再现于今日也。”</w:t>
      </w:r>
      <w:r>
        <w:rPr>
          <w:rFonts w:hint="eastAsia" w:ascii="仿宋" w:hAnsi="仿宋" w:eastAsia="仿宋" w:cs="仿宋"/>
          <w:sz w:val="32"/>
          <w:szCs w:val="32"/>
          <w:lang w:val="en-US" w:eastAsia="zh-CN"/>
        </w:rPr>
        <w:footnoteReference w:id="2"/>
      </w:r>
      <w:r>
        <w:rPr>
          <w:rFonts w:hint="eastAsia" w:ascii="仿宋" w:hAnsi="仿宋" w:eastAsia="仿宋" w:cs="仿宋"/>
          <w:sz w:val="32"/>
          <w:szCs w:val="32"/>
          <w:lang w:val="en-US" w:eastAsia="zh-CN"/>
        </w:rPr>
        <w:t>以上所见，大历史观是历史学者治史的重要方法，运用在高中历史教学的过程中，能够帮助学生培养学科核心素养，形成全面发展的人。</w:t>
      </w:r>
    </w:p>
    <w:p>
      <w:pPr>
        <w:numPr>
          <w:ilvl w:val="0"/>
          <w:numId w:val="0"/>
        </w:numPr>
        <w:ind w:firstLine="420"/>
        <w:jc w:val="both"/>
        <w:rPr>
          <w:rFonts w:hint="default"/>
          <w:lang w:val="en-US" w:eastAsia="zh-CN"/>
        </w:rPr>
      </w:pP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梁启超：中国历史研究法：北京：东方出版社， 1996.03.</w:t>
      </w:r>
    </w:p>
    <w:p>
      <w:pPr>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吴于廑：吴于廑文选，武汉：武汉大学出版社，2007.10.</w:t>
      </w:r>
    </w:p>
    <w:p>
      <w:pPr>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吴于廑：谈研究历史的古为今用，武汉：江汉学报，1964，(1).</w:t>
      </w:r>
    </w:p>
    <w:p>
      <w:pPr>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黄仁宇：中国大历史，北京：生活·读书·新知三联书店，1997.05.</w:t>
      </w:r>
    </w:p>
    <w:p>
      <w:pPr>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瞿林东：历史学的崇高使命，史学理论与史学史学刊，2015,13(00):7-12.</w:t>
      </w:r>
    </w:p>
    <w:p>
      <w:pPr>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蒋焰：吴于廑的大历史观，武汉大学学报，2023</w:t>
      </w:r>
      <w:r>
        <w:rPr>
          <w:rFonts w:hint="default" w:ascii="宋体" w:hAnsi="宋体" w:eastAsia="宋体" w:cs="宋体"/>
          <w:sz w:val="24"/>
          <w:szCs w:val="24"/>
          <w:lang w:val="en-US" w:eastAsia="zh-CN"/>
        </w:rPr>
        <w:t>.06.</w:t>
      </w:r>
    </w:p>
    <w:p>
      <w:pPr>
        <w:jc w:val="both"/>
        <w:rPr>
          <w:rFonts w:hint="default"/>
          <w:lang w:val="en-US" w:eastAsia="zh-CN"/>
        </w:rPr>
      </w:pPr>
      <w:r>
        <w:rPr>
          <w:rFonts w:hint="eastAsia"/>
          <w:lang w:val="en-US" w:eastAsia="zh-CN"/>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2"/>
        <w:snapToGrid w:val="0"/>
        <w:rPr>
          <w:rFonts w:hint="default" w:eastAsiaTheme="minorEastAsia"/>
          <w:lang w:val="en-US" w:eastAsia="zh-CN"/>
        </w:rPr>
      </w:pPr>
      <w:r>
        <w:rPr>
          <w:rStyle w:val="5"/>
        </w:rPr>
        <w:footnoteRef/>
      </w:r>
      <w:r>
        <w:t xml:space="preserve"> </w:t>
      </w:r>
      <w:r>
        <w:rPr>
          <w:rFonts w:hint="eastAsia"/>
          <w:lang w:val="en-US" w:eastAsia="zh-CN"/>
        </w:rPr>
        <w:t>黄仁宇：《中国大历史》，北京：三联书店，1997年，第6页</w:t>
      </w:r>
    </w:p>
  </w:footnote>
  <w:footnote w:id="1">
    <w:p>
      <w:pPr>
        <w:pStyle w:val="2"/>
        <w:snapToGrid w:val="0"/>
        <w:rPr>
          <w:rFonts w:hint="default" w:eastAsiaTheme="minorEastAsia"/>
          <w:lang w:val="en-US" w:eastAsia="zh-CN"/>
        </w:rPr>
      </w:pPr>
      <w:r>
        <w:rPr>
          <w:rStyle w:val="5"/>
        </w:rPr>
        <w:footnoteRef/>
      </w:r>
      <w:r>
        <w:t xml:space="preserve"> </w:t>
      </w:r>
      <w:r>
        <w:rPr>
          <w:rFonts w:hint="eastAsia"/>
        </w:rPr>
        <w:t>吴于廑</w:t>
      </w:r>
      <w:r>
        <w:rPr>
          <w:rFonts w:hint="eastAsia"/>
          <w:lang w:eastAsia="zh-CN"/>
        </w:rPr>
        <w:t>：《</w:t>
      </w:r>
      <w:r>
        <w:rPr>
          <w:rFonts w:hint="eastAsia"/>
        </w:rPr>
        <w:t>吴于廑文选</w:t>
      </w:r>
      <w:r>
        <w:rPr>
          <w:rFonts w:hint="eastAsia"/>
          <w:lang w:eastAsia="zh-CN"/>
        </w:rPr>
        <w:t>》，</w:t>
      </w:r>
      <w:r>
        <w:rPr>
          <w:rFonts w:hint="eastAsia"/>
        </w:rPr>
        <w:t>武汉</w:t>
      </w:r>
      <w:r>
        <w:rPr>
          <w:rFonts w:hint="eastAsia"/>
          <w:lang w:eastAsia="zh-CN"/>
        </w:rPr>
        <w:t>：</w:t>
      </w:r>
      <w:r>
        <w:rPr>
          <w:rFonts w:hint="eastAsia"/>
        </w:rPr>
        <w:t>武汉大学出版社</w:t>
      </w:r>
      <w:r>
        <w:rPr>
          <w:rFonts w:hint="eastAsia"/>
          <w:lang w:eastAsia="zh-CN"/>
        </w:rPr>
        <w:t>，</w:t>
      </w:r>
      <w:r>
        <w:rPr>
          <w:rFonts w:hint="eastAsia"/>
          <w:lang w:val="en-US" w:eastAsia="zh-CN"/>
        </w:rPr>
        <w:t>2007年，第39页</w:t>
      </w:r>
    </w:p>
  </w:footnote>
  <w:footnote w:id="2">
    <w:p>
      <w:pPr>
        <w:pStyle w:val="2"/>
        <w:snapToGrid w:val="0"/>
      </w:pPr>
      <w:r>
        <w:rPr>
          <w:rStyle w:val="5"/>
        </w:rPr>
        <w:footnoteRef/>
      </w:r>
      <w:r>
        <w:t xml:space="preserve"> </w:t>
      </w:r>
      <w:r>
        <w:rPr>
          <w:rFonts w:hint="eastAsia"/>
        </w:rPr>
        <w:t>梁启超：《中国历史研究法》，上海：上海古籍出版社，1998年，第</w:t>
      </w:r>
      <w:r>
        <w:rPr>
          <w:rFonts w:hint="default"/>
          <w:lang w:val="en-US"/>
        </w:rPr>
        <w:t>23</w:t>
      </w:r>
      <w:r>
        <w:rPr>
          <w:rFonts w:hint="eastAsia"/>
        </w:rPr>
        <w:t>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9B448"/>
    <w:multiLevelType w:val="singleLevel"/>
    <w:tmpl w:val="FBF9B448"/>
    <w:lvl w:ilvl="0" w:tentative="0">
      <w:start w:val="1"/>
      <w:numFmt w:val="chineseCounting"/>
      <w:suff w:val="nothing"/>
      <w:lvlText w:val="%1、"/>
      <w:lvlJc w:val="left"/>
      <w:rPr>
        <w:rFonts w:hint="eastAsia"/>
      </w:rPr>
    </w:lvl>
  </w:abstractNum>
  <w:abstractNum w:abstractNumId="1">
    <w:nsid w:val="7B7ED117"/>
    <w:multiLevelType w:val="singleLevel"/>
    <w:tmpl w:val="7B7ED11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73FB264C"/>
    <w:rsid w:val="317A35DF"/>
    <w:rsid w:val="3ADA481D"/>
    <w:rsid w:val="3FA80245"/>
    <w:rsid w:val="4E624920"/>
    <w:rsid w:val="5F7BF494"/>
    <w:rsid w:val="73FB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rPr>
  </w:style>
  <w:style w:type="character" w:styleId="5">
    <w:name w:val="footnote reference"/>
    <w:basedOn w:val="4"/>
    <w:autoRedefine/>
    <w:uiPriority w:val="0"/>
    <w:rPr>
      <w:vertAlign w:val="superscript"/>
    </w:rPr>
  </w:style>
  <w:style w:type="paragraph" w:customStyle="1" w:styleId="6">
    <w:name w:val="分类号"/>
    <w:basedOn w:val="1"/>
    <w:autoRedefine/>
    <w:qFormat/>
    <w:uiPriority w:val="0"/>
    <w:rPr>
      <w:rFonts w:ascii="仿宋_GB2312" w:hAnsi="Times New Roman" w:eastAsia="仿宋_GB2312" w:cs="Times New Roman"/>
      <w:sz w:val="28"/>
      <w:szCs w:val="28"/>
    </w:rPr>
  </w:style>
  <w:style w:type="paragraph" w:customStyle="1" w:styleId="7">
    <w:name w:val="硕士学位论文"/>
    <w:basedOn w:val="1"/>
    <w:autoRedefine/>
    <w:qFormat/>
    <w:uiPriority w:val="0"/>
    <w:pPr>
      <w:spacing w:before="240"/>
      <w:jc w:val="center"/>
    </w:pPr>
    <w:rPr>
      <w:rFonts w:ascii="Times New Roman" w:hAnsi="Times New Roman" w:eastAsia="宋体" w:cs="Times New Roman"/>
      <w:sz w:val="44"/>
      <w:szCs w:val="44"/>
    </w:rPr>
  </w:style>
  <w:style w:type="paragraph" w:customStyle="1" w:styleId="8">
    <w:name w:val="研究生姓名"/>
    <w:basedOn w:val="1"/>
    <w:autoRedefine/>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6</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2024-01-11T06:22:00Z</dcterms:created>
  <dcterms:modified xsi:type="dcterms:W3CDTF">2024-04-29T11:23:24Z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32DE1D72D1057322CF26A065D0D6661F_43</vt:lpwstr>
  </property>
</Properties>
</file>