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7E3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color w:val="FF0000"/>
          <w:sz w:val="36"/>
          <w:szCs w:val="36"/>
        </w:rPr>
      </w:pPr>
      <w:r>
        <w:rPr>
          <w:rFonts w:hint="eastAsia" w:ascii="微软雅黑" w:hAnsi="微软雅黑" w:eastAsia="微软雅黑" w:cs="微软雅黑"/>
          <w:b/>
          <w:color w:val="FF0000"/>
          <w:sz w:val="36"/>
          <w:szCs w:val="36"/>
          <w:lang w:val="en-US" w:eastAsia="zh-CN"/>
        </w:rPr>
        <w:t>2024-2025学年第一学期第13周</w:t>
      </w:r>
      <w:r>
        <w:rPr>
          <w:rFonts w:hint="eastAsia" w:ascii="微软雅黑" w:hAnsi="微软雅黑" w:eastAsia="微软雅黑" w:cs="微软雅黑"/>
          <w:b/>
          <w:color w:val="FF0000"/>
          <w:sz w:val="36"/>
          <w:szCs w:val="36"/>
        </w:rPr>
        <w:t>高</w:t>
      </w:r>
      <w:r>
        <w:rPr>
          <w:rFonts w:hint="eastAsia" w:ascii="微软雅黑" w:hAnsi="微软雅黑" w:eastAsia="微软雅黑" w:cs="微软雅黑"/>
          <w:b/>
          <w:color w:val="FF0000"/>
          <w:sz w:val="36"/>
          <w:szCs w:val="36"/>
          <w:lang w:eastAsia="zh-CN"/>
        </w:rPr>
        <w:t>三化学</w:t>
      </w:r>
      <w:r>
        <w:rPr>
          <w:rFonts w:hint="eastAsia" w:ascii="微软雅黑" w:hAnsi="微软雅黑" w:eastAsia="微软雅黑" w:cs="微软雅黑"/>
          <w:b/>
          <w:color w:val="FF0000"/>
          <w:sz w:val="36"/>
          <w:szCs w:val="36"/>
        </w:rPr>
        <w:t>比对式听课点评</w:t>
      </w:r>
    </w:p>
    <w:p w14:paraId="1C9286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新魏" w:hAnsi="华文新魏" w:eastAsia="华文新魏" w:cs="华文新魏"/>
          <w:b/>
          <w:color w:val="00B050"/>
          <w:sz w:val="32"/>
          <w:szCs w:val="32"/>
          <w:lang w:val="en-US" w:eastAsia="zh-CN"/>
        </w:rPr>
      </w:pPr>
      <w:r>
        <w:rPr>
          <w:rFonts w:hint="eastAsia" w:ascii="华文新魏" w:hAnsi="华文新魏" w:eastAsia="华文新魏" w:cs="华文新魏"/>
          <w:b/>
          <w:color w:val="00B050"/>
          <w:sz w:val="32"/>
          <w:szCs w:val="32"/>
          <w:lang w:eastAsia="zh-CN"/>
        </w:rPr>
        <w:t>（</w:t>
      </w:r>
      <w:r>
        <w:rPr>
          <w:rFonts w:hint="eastAsia" w:ascii="华文新魏" w:hAnsi="华文新魏" w:eastAsia="华文新魏" w:cs="华文新魏"/>
          <w:b/>
          <w:color w:val="00B050"/>
          <w:sz w:val="32"/>
          <w:szCs w:val="32"/>
          <w:lang w:val="en-US" w:eastAsia="zh-CN"/>
        </w:rPr>
        <w:t xml:space="preserve">教务处  </w:t>
      </w:r>
      <w:r>
        <w:rPr>
          <w:rFonts w:hint="eastAsia" w:ascii="华文新魏" w:hAnsi="华文新魏" w:eastAsia="华文新魏" w:cs="华文新魏"/>
          <w:b/>
          <w:color w:val="00B050"/>
          <w:sz w:val="32"/>
          <w:szCs w:val="32"/>
        </w:rPr>
        <w:t>202</w:t>
      </w:r>
      <w:r>
        <w:rPr>
          <w:rFonts w:hint="eastAsia" w:ascii="华文新魏" w:hAnsi="华文新魏" w:eastAsia="华文新魏" w:cs="华文新魏"/>
          <w:b/>
          <w:color w:val="00B050"/>
          <w:sz w:val="32"/>
          <w:szCs w:val="32"/>
          <w:lang w:val="en-US" w:eastAsia="zh-CN"/>
        </w:rPr>
        <w:t>4年11月27日</w:t>
      </w:r>
      <w:r>
        <w:rPr>
          <w:rFonts w:hint="eastAsia" w:ascii="华文新魏" w:hAnsi="华文新魏" w:eastAsia="华文新魏" w:cs="华文新魏"/>
          <w:b/>
          <w:color w:val="00B050"/>
          <w:sz w:val="32"/>
          <w:szCs w:val="32"/>
          <w:lang w:eastAsia="zh-CN"/>
        </w:rPr>
        <w:t>）</w:t>
      </w:r>
    </w:p>
    <w:p w14:paraId="1677A3D9">
      <w:pPr>
        <w:keepNext w:val="0"/>
        <w:keepLines w:val="0"/>
        <w:pageBreakBefore w:val="0"/>
        <w:widowControl w:val="0"/>
        <w:kinsoku/>
        <w:wordWrap/>
        <w:overflowPunct/>
        <w:topLinePunct w:val="0"/>
        <w:autoSpaceDE/>
        <w:autoSpaceDN/>
        <w:bidi w:val="0"/>
        <w:adjustRightInd/>
        <w:snapToGrid/>
        <w:spacing w:before="95" w:beforeLines="30" w:line="560" w:lineRule="exact"/>
        <w:ind w:firstLine="560" w:firstLineChars="2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本周比对式抽签听课为</w:t>
      </w:r>
      <w:r>
        <w:rPr>
          <w:rFonts w:hint="eastAsia" w:ascii="微软雅黑" w:hAnsi="微软雅黑" w:eastAsia="微软雅黑" w:cs="微软雅黑"/>
          <w:b/>
          <w:bCs/>
          <w:color w:val="4F0FBD"/>
          <w:sz w:val="28"/>
          <w:szCs w:val="28"/>
          <w:lang w:val="en-US" w:eastAsia="zh-CN"/>
        </w:rPr>
        <w:t>高三化</w:t>
      </w:r>
      <w:bookmarkStart w:id="0" w:name="_GoBack"/>
      <w:bookmarkEnd w:id="0"/>
      <w:r>
        <w:rPr>
          <w:rFonts w:hint="eastAsia" w:ascii="微软雅黑" w:hAnsi="微软雅黑" w:eastAsia="微软雅黑" w:cs="微软雅黑"/>
          <w:b/>
          <w:bCs/>
          <w:color w:val="4F0FBD"/>
          <w:sz w:val="28"/>
          <w:szCs w:val="28"/>
          <w:lang w:val="en-US" w:eastAsia="zh-CN"/>
        </w:rPr>
        <w:t>学</w:t>
      </w:r>
      <w:r>
        <w:rPr>
          <w:rFonts w:hint="eastAsia" w:ascii="宋体" w:hAnsi="宋体"/>
          <w:sz w:val="28"/>
          <w:szCs w:val="28"/>
          <w:highlight w:val="none"/>
          <w:lang w:val="en-US" w:eastAsia="zh-CN"/>
        </w:rPr>
        <w:t>，分别是11月27日上午第二节</w:t>
      </w:r>
      <w:r>
        <w:rPr>
          <w:rFonts w:hint="eastAsia" w:ascii="微软雅黑" w:hAnsi="微软雅黑" w:eastAsia="微软雅黑" w:cs="微软雅黑"/>
          <w:b/>
          <w:bCs/>
          <w:color w:val="4F0FBD"/>
          <w:sz w:val="28"/>
          <w:szCs w:val="28"/>
          <w:lang w:val="en-US" w:eastAsia="zh-CN"/>
        </w:rPr>
        <w:t>高三（6）班李志玲老师</w:t>
      </w:r>
      <w:r>
        <w:rPr>
          <w:rFonts w:hint="eastAsia" w:ascii="宋体" w:hAnsi="宋体"/>
          <w:sz w:val="28"/>
          <w:szCs w:val="28"/>
          <w:highlight w:val="none"/>
          <w:lang w:val="en-US" w:eastAsia="zh-CN"/>
        </w:rPr>
        <w:t>和第三节</w:t>
      </w:r>
      <w:r>
        <w:rPr>
          <w:rFonts w:hint="eastAsia" w:ascii="微软雅黑" w:hAnsi="微软雅黑" w:eastAsia="微软雅黑" w:cs="微软雅黑"/>
          <w:b/>
          <w:bCs/>
          <w:color w:val="4F0FBD"/>
          <w:sz w:val="28"/>
          <w:szCs w:val="28"/>
          <w:lang w:val="en-US" w:eastAsia="zh-CN"/>
        </w:rPr>
        <w:t>高三（4）班张鑫老师</w:t>
      </w:r>
      <w:r>
        <w:rPr>
          <w:rFonts w:hint="eastAsia" w:ascii="宋体" w:hAnsi="宋体"/>
          <w:sz w:val="28"/>
          <w:szCs w:val="28"/>
          <w:highlight w:val="none"/>
          <w:lang w:val="en-US" w:eastAsia="zh-CN"/>
        </w:rPr>
        <w:t>，课题都是</w:t>
      </w:r>
      <w:r>
        <w:rPr>
          <w:rFonts w:hint="eastAsia" w:ascii="微软雅黑" w:hAnsi="微软雅黑" w:eastAsia="微软雅黑" w:cs="微软雅黑"/>
          <w:b/>
          <w:bCs/>
          <w:color w:val="4F0FBD"/>
          <w:sz w:val="28"/>
          <w:szCs w:val="28"/>
          <w:lang w:val="en-US" w:eastAsia="zh-CN"/>
        </w:rPr>
        <w:t>《盐类的水解》</w:t>
      </w:r>
      <w:r>
        <w:rPr>
          <w:rFonts w:hint="eastAsia" w:ascii="宋体" w:hAnsi="宋体"/>
          <w:sz w:val="28"/>
          <w:szCs w:val="28"/>
          <w:highlight w:val="none"/>
          <w:lang w:val="en-US" w:eastAsia="zh-CN"/>
        </w:rPr>
        <w:t>。</w:t>
      </w:r>
    </w:p>
    <w:p w14:paraId="3E0712D9">
      <w:pPr>
        <w:keepNext w:val="0"/>
        <w:keepLines w:val="0"/>
        <w:pageBreakBefore w:val="0"/>
        <w:widowControl w:val="0"/>
        <w:kinsoku/>
        <w:wordWrap/>
        <w:overflowPunct/>
        <w:topLinePunct w:val="0"/>
        <w:autoSpaceDE/>
        <w:autoSpaceDN/>
        <w:bidi w:val="0"/>
        <w:adjustRightInd/>
        <w:snapToGrid/>
        <w:spacing w:before="95" w:beforeLines="30" w:line="560" w:lineRule="exact"/>
        <w:ind w:firstLine="600" w:firstLineChars="200"/>
        <w:textAlignment w:val="auto"/>
        <w:rPr>
          <w:rFonts w:hint="eastAsia" w:ascii="微软雅黑" w:hAnsi="微软雅黑" w:eastAsia="微软雅黑" w:cs="微软雅黑"/>
          <w:b/>
          <w:bCs/>
          <w:color w:val="FF0000"/>
          <w:sz w:val="30"/>
          <w:szCs w:val="30"/>
        </w:rPr>
      </w:pPr>
      <w:r>
        <w:rPr>
          <w:rFonts w:hint="eastAsia" w:ascii="微软雅黑" w:hAnsi="微软雅黑" w:eastAsia="微软雅黑" w:cs="微软雅黑"/>
          <w:b/>
          <w:bCs/>
          <w:color w:val="FF0000"/>
          <w:sz w:val="30"/>
          <w:szCs w:val="30"/>
        </w:rPr>
        <w:t>教学优点：</w:t>
      </w:r>
    </w:p>
    <w:p w14:paraId="002BFDA6">
      <w:pPr>
        <w:keepNext w:val="0"/>
        <w:keepLines w:val="0"/>
        <w:pageBreakBefore w:val="0"/>
        <w:widowControl w:val="0"/>
        <w:numPr>
          <w:numId w:val="0"/>
        </w:numPr>
        <w:kinsoku/>
        <w:wordWrap/>
        <w:overflowPunct/>
        <w:topLinePunct w:val="0"/>
        <w:autoSpaceDE/>
        <w:autoSpaceDN/>
        <w:bidi w:val="0"/>
        <w:adjustRightInd/>
        <w:snapToGrid/>
        <w:spacing w:before="95" w:beforeLines="30" w:line="560" w:lineRule="exact"/>
        <w:ind w:firstLine="600" w:firstLineChars="200"/>
        <w:textAlignment w:val="auto"/>
        <w:rPr>
          <w:rFonts w:hint="eastAsia" w:ascii="宋体" w:hAnsi="宋体"/>
          <w:b/>
          <w:bCs/>
          <w:color w:val="00B050"/>
          <w:sz w:val="28"/>
          <w:szCs w:val="28"/>
          <w:lang w:val="en-US" w:eastAsia="zh-CN"/>
        </w:rPr>
      </w:pPr>
      <w:r>
        <w:rPr>
          <w:rFonts w:hint="eastAsia" w:ascii="微软雅黑" w:hAnsi="微软雅黑" w:eastAsia="微软雅黑" w:cs="微软雅黑"/>
          <w:b/>
          <w:bCs/>
          <w:color w:val="FF0000"/>
          <w:sz w:val="30"/>
          <w:szCs w:val="30"/>
          <w:lang w:val="en-US" w:eastAsia="zh-CN"/>
        </w:rPr>
        <w:t>1.</w:t>
      </w:r>
      <w:r>
        <w:rPr>
          <w:rFonts w:hint="eastAsia" w:ascii="宋体" w:hAnsi="宋体"/>
          <w:sz w:val="28"/>
          <w:szCs w:val="28"/>
        </w:rPr>
        <w:t>高</w:t>
      </w:r>
      <w:r>
        <w:rPr>
          <w:rFonts w:hint="eastAsia" w:ascii="宋体" w:hAnsi="宋体"/>
          <w:sz w:val="28"/>
          <w:szCs w:val="28"/>
          <w:lang w:val="en-US" w:eastAsia="zh-CN"/>
        </w:rPr>
        <w:t>三化学</w:t>
      </w:r>
      <w:r>
        <w:rPr>
          <w:rFonts w:hint="eastAsia" w:ascii="宋体" w:hAnsi="宋体"/>
          <w:sz w:val="28"/>
          <w:szCs w:val="28"/>
        </w:rPr>
        <w:t>备课组做到了</w:t>
      </w:r>
      <w:r>
        <w:rPr>
          <w:rFonts w:hint="eastAsia" w:ascii="宋体" w:hAnsi="宋体"/>
          <w:b/>
          <w:bCs/>
          <w:color w:val="00B0F0"/>
          <w:sz w:val="28"/>
          <w:szCs w:val="28"/>
        </w:rPr>
        <w:t>统一导学案和授课内容</w:t>
      </w:r>
      <w:r>
        <w:rPr>
          <w:rFonts w:hint="eastAsia" w:ascii="宋体" w:hAnsi="宋体"/>
          <w:b/>
          <w:bCs/>
          <w:color w:val="00B0F0"/>
          <w:sz w:val="28"/>
          <w:szCs w:val="28"/>
          <w:lang w:eastAsia="zh-CN"/>
        </w:rPr>
        <w:t>，</w:t>
      </w:r>
      <w:r>
        <w:rPr>
          <w:rFonts w:hint="eastAsia" w:ascii="宋体" w:hAnsi="宋体"/>
          <w:b/>
          <w:bCs/>
          <w:color w:val="00B0F0"/>
          <w:sz w:val="28"/>
          <w:szCs w:val="28"/>
          <w:lang w:val="en-US" w:eastAsia="zh-CN"/>
        </w:rPr>
        <w:t>围绕课标，钻研教材，结合班情学情进行个人二次备课，</w:t>
      </w:r>
      <w:r>
        <w:rPr>
          <w:rFonts w:hint="eastAsia" w:ascii="宋体" w:hAnsi="宋体"/>
          <w:b/>
          <w:bCs/>
          <w:color w:val="00B050"/>
          <w:sz w:val="28"/>
          <w:szCs w:val="28"/>
          <w:lang w:val="en-US" w:eastAsia="zh-CN"/>
        </w:rPr>
        <w:t>两位老师都将传统板书与多媒体相结合，课堂学生参与度高，</w:t>
      </w:r>
      <w:r>
        <w:rPr>
          <w:rFonts w:hint="eastAsia" w:ascii="宋体" w:hAnsi="宋体"/>
          <w:b/>
          <w:bCs/>
          <w:color w:val="00B050"/>
          <w:sz w:val="28"/>
          <w:szCs w:val="28"/>
        </w:rPr>
        <w:t>打造</w:t>
      </w:r>
      <w:r>
        <w:rPr>
          <w:rFonts w:hint="eastAsia" w:ascii="宋体" w:hAnsi="宋体"/>
          <w:b/>
          <w:bCs/>
          <w:color w:val="00B050"/>
          <w:sz w:val="28"/>
          <w:szCs w:val="28"/>
          <w:lang w:val="en-US" w:eastAsia="zh-CN"/>
        </w:rPr>
        <w:t>了</w:t>
      </w:r>
      <w:r>
        <w:rPr>
          <w:rFonts w:hint="eastAsia" w:ascii="宋体" w:hAnsi="宋体"/>
          <w:b/>
          <w:bCs/>
          <w:color w:val="00B050"/>
          <w:sz w:val="28"/>
          <w:szCs w:val="28"/>
        </w:rPr>
        <w:t>以生为本的本真课堂，</w:t>
      </w:r>
      <w:r>
        <w:rPr>
          <w:rFonts w:hint="eastAsia" w:ascii="宋体" w:hAnsi="宋体"/>
          <w:b/>
          <w:bCs/>
          <w:color w:val="00B050"/>
          <w:sz w:val="28"/>
          <w:szCs w:val="28"/>
          <w:lang w:val="en-US" w:eastAsia="zh-CN"/>
        </w:rPr>
        <w:t>将</w:t>
      </w:r>
      <w:r>
        <w:rPr>
          <w:rFonts w:hint="eastAsia" w:ascii="宋体" w:hAnsi="宋体"/>
          <w:b/>
          <w:bCs/>
          <w:color w:val="00B050"/>
          <w:sz w:val="28"/>
          <w:szCs w:val="28"/>
        </w:rPr>
        <w:t>强调“言语解读”与“书面理解”相互转化、注重板书生成性</w:t>
      </w:r>
      <w:r>
        <w:rPr>
          <w:rFonts w:hint="eastAsia" w:ascii="宋体" w:hAnsi="宋体"/>
          <w:b/>
          <w:bCs/>
          <w:color w:val="00B050"/>
          <w:sz w:val="28"/>
          <w:szCs w:val="28"/>
          <w:lang w:val="en-US" w:eastAsia="zh-CN"/>
        </w:rPr>
        <w:t>等要求执行到位。</w:t>
      </w:r>
    </w:p>
    <w:p w14:paraId="665575F9">
      <w:pPr>
        <w:keepNext w:val="0"/>
        <w:keepLines w:val="0"/>
        <w:pageBreakBefore w:val="0"/>
        <w:widowControl w:val="0"/>
        <w:numPr>
          <w:numId w:val="0"/>
        </w:numPr>
        <w:kinsoku/>
        <w:wordWrap/>
        <w:overflowPunct/>
        <w:topLinePunct w:val="0"/>
        <w:autoSpaceDE/>
        <w:autoSpaceDN/>
        <w:bidi w:val="0"/>
        <w:adjustRightInd/>
        <w:snapToGrid/>
        <w:spacing w:before="95" w:beforeLines="30" w:line="560" w:lineRule="exact"/>
        <w:ind w:firstLine="600" w:firstLineChars="200"/>
        <w:textAlignment w:val="auto"/>
        <w:rPr>
          <w:rFonts w:hint="eastAsia" w:ascii="微软雅黑" w:hAnsi="微软雅黑" w:eastAsia="微软雅黑" w:cs="微软雅黑"/>
          <w:b/>
          <w:bCs/>
          <w:color w:val="FF0000"/>
          <w:sz w:val="28"/>
          <w:szCs w:val="28"/>
        </w:rPr>
      </w:pPr>
      <w:r>
        <w:rPr>
          <w:rFonts w:hint="eastAsia" w:ascii="微软雅黑" w:hAnsi="微软雅黑" w:eastAsia="微软雅黑" w:cs="微软雅黑"/>
          <w:b/>
          <w:bCs/>
          <w:color w:val="FF0000"/>
          <w:sz w:val="30"/>
          <w:szCs w:val="30"/>
          <w:lang w:val="en-US" w:eastAsia="zh-CN"/>
        </w:rPr>
        <w:t>2.</w:t>
      </w:r>
      <w:r>
        <w:rPr>
          <w:rFonts w:hint="eastAsia" w:ascii="宋体" w:hAnsi="宋体"/>
          <w:b/>
          <w:bCs/>
          <w:color w:val="00B0F0"/>
          <w:sz w:val="28"/>
          <w:szCs w:val="28"/>
          <w:lang w:val="en-US" w:eastAsia="zh-CN"/>
        </w:rPr>
        <w:t>授课过程中注重培养学生从微观视角分析水溶液体系的思路和一般方法，</w:t>
      </w:r>
      <w:r>
        <w:rPr>
          <w:rFonts w:hint="eastAsia" w:ascii="宋体" w:hAnsi="宋体"/>
          <w:b/>
          <w:bCs/>
          <w:color w:val="00B050"/>
          <w:sz w:val="28"/>
          <w:szCs w:val="28"/>
          <w:lang w:val="en-US" w:eastAsia="zh-CN"/>
        </w:rPr>
        <w:t>从“关注单一平衡的移动”发展到“关注平衡间的相互影响”，发展学生“宏观辨识与微观探析”以及“变化观念与平衡思想”的化学学科核心素养。</w:t>
      </w:r>
    </w:p>
    <w:p w14:paraId="7095463A">
      <w:pPr>
        <w:keepNext w:val="0"/>
        <w:keepLines w:val="0"/>
        <w:pageBreakBefore w:val="0"/>
        <w:widowControl w:val="0"/>
        <w:kinsoku/>
        <w:wordWrap/>
        <w:overflowPunct/>
        <w:topLinePunct w:val="0"/>
        <w:autoSpaceDE/>
        <w:autoSpaceDN/>
        <w:bidi w:val="0"/>
        <w:adjustRightInd/>
        <w:snapToGrid/>
        <w:spacing w:before="95" w:beforeLines="30" w:line="560" w:lineRule="exact"/>
        <w:ind w:firstLine="560" w:firstLineChars="200"/>
        <w:textAlignment w:val="auto"/>
        <w:rPr>
          <w:rFonts w:hint="eastAsia" w:ascii="宋体" w:hAnsi="宋体"/>
          <w:sz w:val="28"/>
          <w:szCs w:val="28"/>
          <w:highlight w:val="none"/>
          <w:lang w:val="en-US" w:eastAsia="zh-CN"/>
        </w:rPr>
      </w:pPr>
      <w:r>
        <w:rPr>
          <w:rFonts w:hint="eastAsia" w:ascii="微软雅黑" w:hAnsi="微软雅黑" w:eastAsia="微软雅黑" w:cs="微软雅黑"/>
          <w:b/>
          <w:bCs/>
          <w:color w:val="0000FF"/>
          <w:sz w:val="28"/>
          <w:szCs w:val="28"/>
          <w:lang w:val="en-US" w:eastAsia="zh-CN"/>
        </w:rPr>
        <w:t>李志玲老师</w:t>
      </w:r>
      <w:r>
        <w:rPr>
          <w:rFonts w:hint="eastAsia" w:ascii="宋体" w:hAnsi="宋体"/>
          <w:sz w:val="28"/>
          <w:szCs w:val="28"/>
          <w:highlight w:val="none"/>
          <w:lang w:val="en-US" w:eastAsia="zh-CN"/>
        </w:rPr>
        <w:t>：</w:t>
      </w:r>
      <w:r>
        <w:rPr>
          <w:rFonts w:hint="eastAsia" w:ascii="宋体" w:hAnsi="宋体"/>
          <w:b/>
          <w:bCs/>
          <w:color w:val="00B0F0"/>
          <w:sz w:val="28"/>
          <w:szCs w:val="28"/>
          <w:highlight w:val="none"/>
          <w:lang w:val="en-US" w:eastAsia="zh-CN"/>
        </w:rPr>
        <w:t>以“海水-岩石体系描述溶液中磷元素的存在形式”情境贯穿整节课。</w:t>
      </w:r>
      <w:r>
        <w:rPr>
          <w:rFonts w:hint="eastAsia" w:ascii="宋体" w:hAnsi="宋体"/>
          <w:sz w:val="28"/>
          <w:szCs w:val="28"/>
          <w:highlight w:val="none"/>
          <w:lang w:val="en-US" w:eastAsia="zh-CN"/>
        </w:rPr>
        <w:t>主要从内因和外因两方面讲解水解平衡的影响因素，强调K值的使用，紧扣高考考点。</w:t>
      </w:r>
      <w:r>
        <w:rPr>
          <w:rFonts w:hint="eastAsia" w:ascii="宋体" w:hAnsi="宋体"/>
          <w:b/>
          <w:bCs/>
          <w:color w:val="00B050"/>
          <w:sz w:val="28"/>
          <w:szCs w:val="28"/>
          <w:highlight w:val="none"/>
          <w:lang w:val="en-US" w:eastAsia="zh-CN"/>
        </w:rPr>
        <w:t>李老师善用情境，讲解层层递进，复习知识点后有相应练习，注重题目的变形。</w:t>
      </w:r>
    </w:p>
    <w:p w14:paraId="165F874E">
      <w:pPr>
        <w:keepNext w:val="0"/>
        <w:keepLines w:val="0"/>
        <w:pageBreakBefore w:val="0"/>
        <w:widowControl w:val="0"/>
        <w:kinsoku/>
        <w:wordWrap/>
        <w:overflowPunct/>
        <w:topLinePunct w:val="0"/>
        <w:autoSpaceDE/>
        <w:autoSpaceDN/>
        <w:bidi w:val="0"/>
        <w:adjustRightInd/>
        <w:snapToGrid/>
        <w:spacing w:before="95" w:beforeLines="30" w:line="560" w:lineRule="exact"/>
        <w:ind w:firstLine="560" w:firstLineChars="200"/>
        <w:textAlignment w:val="auto"/>
        <w:rPr>
          <w:rFonts w:hint="eastAsia" w:ascii="宋体" w:hAnsi="宋体"/>
          <w:sz w:val="28"/>
          <w:szCs w:val="28"/>
          <w:highlight w:val="none"/>
          <w:lang w:val="en-US" w:eastAsia="zh-CN"/>
        </w:rPr>
      </w:pPr>
      <w:r>
        <w:rPr>
          <w:rFonts w:hint="eastAsia" w:ascii="微软雅黑" w:hAnsi="微软雅黑" w:eastAsia="微软雅黑" w:cs="微软雅黑"/>
          <w:b/>
          <w:bCs/>
          <w:color w:val="0000FF"/>
          <w:sz w:val="28"/>
          <w:szCs w:val="28"/>
          <w:lang w:val="en-US" w:eastAsia="zh-CN"/>
        </w:rPr>
        <w:t>张  鑫老师</w:t>
      </w:r>
      <w:r>
        <w:rPr>
          <w:rFonts w:hint="eastAsia" w:ascii="宋体" w:hAnsi="宋体"/>
          <w:sz w:val="28"/>
          <w:szCs w:val="28"/>
          <w:highlight w:val="none"/>
          <w:lang w:val="en-US" w:eastAsia="zh-CN"/>
        </w:rPr>
        <w:t>：以氯化铵溶液呈酸性为切入点，探究盐溶液水解的本质，</w:t>
      </w:r>
      <w:r>
        <w:rPr>
          <w:rFonts w:hint="eastAsia" w:ascii="宋体" w:hAnsi="宋体"/>
          <w:b/>
          <w:bCs/>
          <w:color w:val="00B0F0"/>
          <w:sz w:val="28"/>
          <w:szCs w:val="28"/>
          <w:highlight w:val="none"/>
          <w:lang w:val="en-US" w:eastAsia="zh-CN"/>
        </w:rPr>
        <w:t>设置问题链让学生比较微粒的大小关系，建构盐溶液酸碱性的思维模型，将学生内隐的思维过程外显且提炼出来，</w:t>
      </w:r>
      <w:r>
        <w:rPr>
          <w:rFonts w:hint="eastAsia" w:ascii="宋体" w:hAnsi="宋体"/>
          <w:sz w:val="28"/>
          <w:szCs w:val="28"/>
          <w:highlight w:val="none"/>
          <w:lang w:val="en-US" w:eastAsia="zh-CN"/>
        </w:rPr>
        <w:t>学生在这个过程中通过应用认知模型自主分析盐溶液中的微粒行为，进而归纳出盐类水解条件及规律。</w:t>
      </w:r>
      <w:r>
        <w:rPr>
          <w:rFonts w:hint="eastAsia" w:ascii="宋体" w:hAnsi="宋体"/>
          <w:b/>
          <w:bCs/>
          <w:color w:val="00B050"/>
          <w:sz w:val="28"/>
          <w:szCs w:val="28"/>
          <w:highlight w:val="none"/>
          <w:lang w:val="en-US" w:eastAsia="zh-CN"/>
        </w:rPr>
        <w:t>张老师引导性强，注重基础，鼓励学生分析做题思路，关注学生上课状态，突出类比学习。</w:t>
      </w:r>
    </w:p>
    <w:p w14:paraId="74DF5F68">
      <w:pPr>
        <w:keepNext w:val="0"/>
        <w:keepLines w:val="0"/>
        <w:pageBreakBefore w:val="0"/>
        <w:widowControl w:val="0"/>
        <w:kinsoku/>
        <w:wordWrap/>
        <w:overflowPunct/>
        <w:topLinePunct w:val="0"/>
        <w:autoSpaceDE/>
        <w:autoSpaceDN/>
        <w:bidi w:val="0"/>
        <w:adjustRightInd/>
        <w:snapToGrid/>
        <w:spacing w:before="95" w:beforeLines="30" w:line="560" w:lineRule="exact"/>
        <w:ind w:firstLine="600" w:firstLineChars="200"/>
        <w:textAlignment w:val="auto"/>
        <w:rPr>
          <w:rFonts w:hint="eastAsia" w:ascii="微软雅黑" w:hAnsi="微软雅黑" w:eastAsia="微软雅黑" w:cs="微软雅黑"/>
          <w:b/>
          <w:bCs/>
          <w:color w:val="00B050"/>
          <w:sz w:val="30"/>
          <w:szCs w:val="30"/>
        </w:rPr>
      </w:pPr>
      <w:r>
        <w:rPr>
          <w:rFonts w:hint="eastAsia" w:ascii="微软雅黑" w:hAnsi="微软雅黑" w:eastAsia="微软雅黑" w:cs="微软雅黑"/>
          <w:b/>
          <w:bCs/>
          <w:color w:val="00B050"/>
          <w:sz w:val="30"/>
          <w:szCs w:val="30"/>
        </w:rPr>
        <w:t>不足之处：</w:t>
      </w:r>
    </w:p>
    <w:p w14:paraId="44F7F1D1">
      <w:pPr>
        <w:keepNext w:val="0"/>
        <w:keepLines w:val="0"/>
        <w:pageBreakBefore w:val="0"/>
        <w:widowControl w:val="0"/>
        <w:kinsoku/>
        <w:wordWrap/>
        <w:overflowPunct/>
        <w:topLinePunct w:val="0"/>
        <w:autoSpaceDE/>
        <w:autoSpaceDN/>
        <w:bidi w:val="0"/>
        <w:adjustRightInd/>
        <w:snapToGrid/>
        <w:spacing w:before="95" w:beforeLines="30" w:line="560" w:lineRule="exact"/>
        <w:ind w:firstLine="560" w:firstLineChars="200"/>
        <w:textAlignment w:val="auto"/>
        <w:rPr>
          <w:rFonts w:hint="eastAsia" w:ascii="宋体" w:hAnsi="宋体"/>
          <w:sz w:val="28"/>
          <w:szCs w:val="28"/>
          <w:highlight w:val="none"/>
          <w:lang w:val="en-US" w:eastAsia="zh-CN"/>
        </w:rPr>
      </w:pPr>
      <w:r>
        <w:rPr>
          <w:rFonts w:hint="eastAsia" w:ascii="微软雅黑" w:hAnsi="微软雅黑" w:eastAsia="微软雅黑" w:cs="微软雅黑"/>
          <w:b/>
          <w:bCs/>
          <w:color w:val="0000FF"/>
          <w:sz w:val="28"/>
          <w:szCs w:val="28"/>
          <w:lang w:val="en-US" w:eastAsia="zh-CN"/>
        </w:rPr>
        <w:t>李志玲老师</w:t>
      </w:r>
      <w:r>
        <w:rPr>
          <w:rFonts w:hint="eastAsia" w:ascii="宋体" w:hAnsi="宋体"/>
          <w:sz w:val="28"/>
          <w:szCs w:val="28"/>
          <w:highlight w:val="none"/>
          <w:lang w:val="en-US" w:eastAsia="zh-CN"/>
        </w:rPr>
        <w:t>：</w:t>
      </w:r>
      <w:r>
        <w:rPr>
          <w:rFonts w:hint="eastAsia" w:ascii="楷体" w:hAnsi="楷体" w:eastAsia="楷体" w:cs="楷体"/>
          <w:b/>
          <w:bCs/>
          <w:color w:val="C0504D"/>
          <w:sz w:val="28"/>
          <w:szCs w:val="28"/>
          <w:lang w:val="en-US" w:eastAsia="zh-CN"/>
        </w:rPr>
        <w:t>可以进一步挖掘情境，设置一些需要学生深入思考的问题，重视问题的分层设置。</w:t>
      </w:r>
    </w:p>
    <w:p w14:paraId="7D4B6EEF">
      <w:pPr>
        <w:keepNext w:val="0"/>
        <w:keepLines w:val="0"/>
        <w:pageBreakBefore w:val="0"/>
        <w:widowControl w:val="0"/>
        <w:kinsoku/>
        <w:wordWrap/>
        <w:overflowPunct/>
        <w:topLinePunct w:val="0"/>
        <w:autoSpaceDE/>
        <w:autoSpaceDN/>
        <w:bidi w:val="0"/>
        <w:adjustRightInd/>
        <w:snapToGrid/>
        <w:spacing w:before="95" w:beforeLines="30" w:line="560" w:lineRule="exact"/>
        <w:ind w:firstLine="560" w:firstLineChars="200"/>
        <w:textAlignment w:val="auto"/>
        <w:rPr>
          <w:sz w:val="28"/>
          <w:szCs w:val="28"/>
        </w:rPr>
      </w:pPr>
      <w:r>
        <w:rPr>
          <w:rFonts w:hint="eastAsia" w:ascii="微软雅黑" w:hAnsi="微软雅黑" w:eastAsia="微软雅黑" w:cs="微软雅黑"/>
          <w:b/>
          <w:bCs/>
          <w:color w:val="0000FF"/>
          <w:sz w:val="28"/>
          <w:szCs w:val="28"/>
          <w:lang w:val="en-US" w:eastAsia="zh-CN"/>
        </w:rPr>
        <w:t>张  鑫老师</w:t>
      </w:r>
      <w:r>
        <w:rPr>
          <w:rFonts w:hint="eastAsia" w:ascii="宋体" w:hAnsi="宋体"/>
          <w:sz w:val="28"/>
          <w:szCs w:val="28"/>
          <w:highlight w:val="none"/>
          <w:lang w:val="en-US" w:eastAsia="zh-CN"/>
        </w:rPr>
        <w:t>：</w:t>
      </w:r>
      <w:r>
        <w:rPr>
          <w:rFonts w:hint="eastAsia" w:ascii="楷体" w:hAnsi="楷体" w:eastAsia="楷体" w:cs="楷体"/>
          <w:b/>
          <w:bCs/>
          <w:color w:val="C0504D"/>
          <w:sz w:val="28"/>
          <w:szCs w:val="28"/>
          <w:lang w:val="en-US" w:eastAsia="zh-CN"/>
        </w:rPr>
        <w:t>选题较为精准，可以增加高考真题让学生明确考向、考法。</w:t>
      </w:r>
      <w:r>
        <w:rPr>
          <w:rFonts w:hint="eastAsia" w:ascii="宋体" w:hAnsi="宋体"/>
          <w:b/>
          <w:bCs/>
          <w:color w:val="00B050"/>
          <w:sz w:val="28"/>
          <w:szCs w:val="28"/>
          <w:highlight w:val="none"/>
          <w:lang w:val="en-US" w:eastAsia="zh-CN"/>
        </w:rPr>
        <w:t>要有适当的课堂留白，预留学生的思考时间，减慢教学节奏。</w:t>
      </w:r>
    </w:p>
    <w:sectPr>
      <w:pgSz w:w="11906" w:h="16838"/>
      <w:pgMar w:top="646" w:right="839" w:bottom="136"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ZDc3NmNlYTU5OWUwOTBjZmY5ZTExMzRiMzBmNGYifQ=="/>
    <w:docVar w:name="KSO_WPS_MARK_KEY" w:val="df0a7c0b-1a73-4c8a-808c-8f86e1831ac5"/>
  </w:docVars>
  <w:rsids>
    <w:rsidRoot w:val="00000000"/>
    <w:rsid w:val="01BB7833"/>
    <w:rsid w:val="05330914"/>
    <w:rsid w:val="146E068C"/>
    <w:rsid w:val="14BA54FA"/>
    <w:rsid w:val="1869137E"/>
    <w:rsid w:val="23902475"/>
    <w:rsid w:val="2B0F6376"/>
    <w:rsid w:val="34F30AB6"/>
    <w:rsid w:val="40F60A51"/>
    <w:rsid w:val="4FF01852"/>
    <w:rsid w:val="6A9736B6"/>
    <w:rsid w:val="72933097"/>
    <w:rsid w:val="754D09F8"/>
    <w:rsid w:val="7F6B1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703</Words>
  <Characters>710</Characters>
  <Lines>0</Lines>
  <Paragraphs>0</Paragraphs>
  <TotalTime>8</TotalTime>
  <ScaleCrop>false</ScaleCrop>
  <LinksUpToDate>false</LinksUpToDate>
  <CharactersWithSpaces>712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2024-11-28T12:19:00Z</dcterms:created>
  <dc:creator>Administrator</dc:creator>
  <cp:lastModifiedBy>Administrator</cp:lastModifiedBy>
  <dcterms:modified xsi:type="dcterms:W3CDTF">2024-12-01T12:16:56Z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105673208E804C04B603C78CA7E11C8C_13</vt:lpwstr>
  </property>
</Properties>
</file>