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江苏省仪征中学2024-2025学年度第一学期高二历史提升性练习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十六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2024.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21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（共16题，每题3分，合计48分）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1.历史学家王国维认为，夏商“诸侯之于天子，犹后世诸侯之于盟主，未有君臣之分也”，而西周初期“天子、诸侯君臣之分始定”。导致这一变化的主要原因是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A.君主专制制度的确立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B.敬天保民观念的形成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C.宗法分封制度的实施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D.礼乐制度的逐渐废驰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2.下表是根据《汉书》整理的关于郡县官员的考核记录。据此可知，汉代官员考核</w:t>
      </w:r>
    </w:p>
    <w:tbl>
      <w:tblPr>
        <w:tblStyle w:val="10"/>
        <w:tblW w:w="6525" w:type="dxa"/>
        <w:tblInd w:w="19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5" w:type="dxa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（陈立）为天水太守，劝民农桑，为天下最。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5" w:type="dxa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（祭彤）除偃师长，视事五年，县无盗贼，州课第一，迁襄贵令。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5" w:type="dxa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（韩延寿）在东郡三岁，令行禁止，断狱大减，为天下最。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5" w:type="dxa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（卜式）迁成皋令，将漕最。上以式朴忠，拜为齐王太傅，转为相。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A.强调儒家伦理道德品质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B.标准多样切合实际需要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C.以任满三年为考核周期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D.是官员升迁的唯一依据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3.西晋时，国家法律将“准五服（以服饰来表现血缘关系的远近）以治罪”作为决定罪行的等级标准，即：以下犯上者服制越远的处罚越轻，以上犯下者则是服制越远处罚越重。这种决定罪行标准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A.强化了法律的教化功能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B.妨碍了社会秩序的稳定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C.导致了法律体系的混乱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D.弱化了法律的权威地位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4.下表是唐代部分官员出身情况。这反映了当时</w:t>
      </w:r>
    </w:p>
    <w:tbl>
      <w:tblPr>
        <w:tblStyle w:val="10"/>
        <w:tblW w:w="5487" w:type="dxa"/>
        <w:tblInd w:w="1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88"/>
        <w:gridCol w:w="1025"/>
        <w:gridCol w:w="98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阶层群体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士族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小姓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朝廷品官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66.2%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12. 3%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21.5%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司法官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大理寺卿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69. 84%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11.11%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19.05%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刑部侍郎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93. 48%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6. 52%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刑部尚书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95. 09%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3.28%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0.82%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A.选官方式呈现多样化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B.门阀观念不断强化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C.士族政治仍有影响力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D.科举程序存在弊端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5.王安石主持变法以来，他痛切地感到，“今人才乏少，且其学术不一，一人一义，十人十义……异论纷然。”他认为，唯有“一道德”，才能改变这种“异论纷纷不止”，为此他改革科举和学校教育。这体现出变法的原则是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A.重视道德教育和教化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B.加强思想文化领域的控制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C.以选拔改革人才为主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D.弥合统治集团内部的分裂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6.元朝实行禀报制度，各行省处理政务一味禀命于朝廷。针对这种状况，大德九年（1305年）中书省又下达公文，谴责各行省应决不决、“泛滥咨察”的做法。然而，对“重事并创支钱粮”，仍重申“必合咨禀”的旧制。这表明行省制推行过程中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A.削弱了中书省行政权力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B.加强了君主的专制权力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C.中央集权辅以地方分权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D.分工明确并且相互牵制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7.明初阁臣们多次举贤任能，协助皇帝考核官吏人选。明成祖朱棣认为阁臣们“裨益不在尚书下”，将内阁设置成为常制，并谕吏部“阁臣勿改它任”。据此可知，明初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A.六部成为内阁的下属机构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B.内阁成为法定的决策机构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C.内阁的职权得到制度保障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D.内阁发挥积极的辅政作用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8.有学者认为，1901年清政府的新政创造了新的机会来动员学生、知识分子、绅士、商人和其他的城市精英，以及新军中的下级官吏。当辛亥革命到来的时候，他们能够集体行动。该学者旨在说明这次“新政”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A.暴露了清政府反动卖国的本质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B.为资产阶级民主革命准备了条件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C.直接导致了清王朝统治的结束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D.为民族工业发展扫清了一些障碍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9.1931年《苏维埃共和国宪法大纲》规定：“在苏维埃政权下，所有工人、农民、红军士兵及一切劳苦民众都有权选派代表掌握政权的管理。军阀、官僚、地主、豪绅、资本家、富农、僧侣及一切剥削人的任何反革命分子，是没有选派代表参加政权和政治上自由的权利的。”这反映出此时苏维埃政权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A.立足国情探索民主政治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B.致力于扩大革命统一战线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C.施政纲领带有激进倾向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D.践行新民主主义革命理念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10.南京国民政府在推行公务员制度的过程中，规定“如遇党员与非党员能力相当时，用人优先党员任用，裁员优先非党员裁减”。同时，国民党中央要求考试院在各类考试中加试“党义”（包括三民主义、建国大纲、建国方略、中国国民党重要宣言及决议案）。’这些举措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A.完全继承孙中山的文官考试思想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B.推动了中国政治民主化进程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C.奠定了近代中国文官制度的基础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D.意在强化国民党的专制统治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12700</wp:posOffset>
            </wp:positionV>
            <wp:extent cx="1453515" cy="1294130"/>
            <wp:effectExtent l="0" t="0" r="6985" b="0"/>
            <wp:wrapTight wrapText="bothSides">
              <wp:wrapPolygon>
                <wp:start x="0" y="0"/>
                <wp:lineTo x="0" y="21409"/>
                <wp:lineTo x="21326" y="21409"/>
                <wp:lineTo x="21326" y="0"/>
                <wp:lineTo x="0" y="0"/>
              </wp:wrapPolygon>
            </wp:wrapTight>
            <wp:docPr id="1771518804" name="图片 4" descr="砖墙上的画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18804" name="图片 4" descr="砖墙上的画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kern w:val="0"/>
          <w:szCs w:val="21"/>
        </w:rPr>
        <w:t>11.1953年3月1日，《选举法》正式颁布施行。根据《选举法》的规定，从1953年下半年开始，全国各个地区的民主选举逐步展开，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右</w:t>
      </w:r>
      <w:r>
        <w:rPr>
          <w:rFonts w:hint="eastAsia" w:ascii="宋体" w:hAnsi="宋体" w:cs="宋体"/>
          <w:bCs/>
          <w:kern w:val="0"/>
          <w:szCs w:val="21"/>
        </w:rPr>
        <w:t>图是当时的选民证。由此可知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A.新政权得到人民的支持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B.《共同纲领》推动民主选举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C.基层群众自治制度确立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D.人民当家作主有了法律保障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12.1981年，中央办公厅印发的《云南民族工作汇报会纪要》提出，要大力培养一直坚持四项基本原则，忠实执行党的方针政策，密切联系群众，有现代科学文化知识和各种业务工作能力的民族干部队伍。这表明党中央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A.把民族地区发展作为中心工作之一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>B.对少数民族干部任用注重德才兼备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C.重视优化少数民族干部队伍的结构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>D.强调民族团结对国家发展的重要性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13.在古代雅典，公民大会至高无上，公民完全可以按照自己的想法投票，即使结果证明是一次错误的表决，他们也不会受到任何惩罚。这一状况表明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A.公民拥有完全的自主权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 xml:space="preserve"> B.直接民主体现了优越性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C.城邦决策缺少理性机制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D.雅典人都享有民主权利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14.中世纪时期欧洲神学家从《圣经》中引申出寡妇守贞不二的理论，力倡宗教禁欲主义。庄园主们为了增加劳动人口则“百般纵容寡妇们结婚，如果她们拒绝或拖延，就会被罚款。”这反映出中世纪的欧洲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A.教会与王权之间存在矛盾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B.宗教的地位高于法律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C.处于天主教会的统治之下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D.神权与世俗权力并立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15.1793年，南卡罗莱纳州人奇泽姆为追讨欠款，向最高法院起诉佐治亚州。佐治亚州政府官员以主权豁免为由拒绝出庭，并严词谴责最高法院。最高法院的法官们没有选择退让，作出判决，要求佐治亚州出庭受审，并偿还债务。这一案例表明美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A.司法权在事实上高于行政权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B.地方各州在政治地位上不平等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C.联邦政府侵夺了州的自治权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D.司法实践中落实联邦至上原则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16.1701年，在西班牙王位继承战争迫近时，英王威廉曾经打算解散托利党辅政“小集团”重新召回拥护战争政策的辉格党“小集团”，但是因为托利党仍保持着议会多数席位，威廉为了避免与议会摩擦，因而不得不放弃了改组计划。这表明英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A.责任内阁制日益成熟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   B.王权受到议会限制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C.政党政治遭到了破坏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   D.国王丧失了行政权</w:t>
      </w:r>
    </w:p>
    <w:p>
      <w:p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snapToGrid w:val="0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（14分）17．选官用人关乎国家的长治久安，中国古代选官用官制度蕴含了许多政治智慧。阅读材料，完成下列要求。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材料一  汉武帝元光元年“初令郡国举孝廉各一人”，举后直接授官，充分适应了君子贤人任官以“轨德立化”的思想。自东汉光武帝始，察举实施中“授试以职”，举主对秀才、孝廉先委以一定职务，以此检验其是否“便习官事”，合格者方举至中央。顺帝阳嘉元年考试经术笺奏，从而出现了一个新环节，构成了察举制向科举制演进的初阶。</w:t>
      </w:r>
    </w:p>
    <w:p>
      <w:pPr>
        <w:widowControl/>
        <w:ind w:firstLine="6090" w:firstLineChars="290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——摘编自阎步克《察举制度变迁史稿》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材料二  唐代科举考生可以“怀牒自列于州县”，允许自由报考，当时的取士原则兼顾着士子的平日才学和科场表现，若仅就规则而言，尚不周严。为杜绝舞弊，自宋真宗朝始，各级考试的试卷一律“封弥”、“誊录”，由皇帝主持的殿试也实行初考、复考、详定三级评定制度。在宋代，科举入仕者逐渐增多，成为文职官僚队伍中的核心力量。赵宋统治者鼓励敞开言路，士大夫们在处理各类国家事务之际亦敢于负责而直抒己见。</w:t>
      </w:r>
    </w:p>
    <w:p>
      <w:pPr>
        <w:widowControl/>
        <w:ind w:firstLine="6510" w:firstLineChars="310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——摘编自袁行霈《中华文明史》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材料三  唐代朝廷经常派遣监察官员或特使巡行各地，在视察地方政治的同时，监督校核官员课绩。宋代地方监司既管监察，又掌考课。宋代中央监察部门以整肃吏治为己任，也时常过问官员的善恶、能否。宋廷考察地方官吏时并不专一倚重地方监司，而经常是通过监司、御史台各自系统独立检举、相互核查。</w:t>
      </w:r>
    </w:p>
    <w:p>
      <w:pPr>
        <w:widowControl/>
        <w:ind w:firstLine="3570" w:firstLineChars="170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——摘编自邓小南《课绩·资格·考察——唐宋文官考核制度侧谈》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（1）据材料一，概括西汉察举制的选官原则，简述东汉察举制的发展表现。（3分）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（2）据材料二，归纳唐宋时期科举制的发展趋势，分析科举制的进步性。（5分）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（3）据材料三，概括唐宋时期官员考察制度的特点。综合上述材料，归纳古代选官用官制度所蕴含的政治智慧。（6分）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（12分）18．阅读材料，完成下列问题。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材料一  廷议是中国古代中央决策体制的重要方式，当国家遇到重大事务时，皇帝或皇帝责成中枢首脑召集相关官员进行讨论，参加廷议的人员也很广泛，不局限于中央高级官员，具有一定代表性，讨论结果由皇帝最后裁定，历代皇帝的很多诏令发布之前都经过廷议。唐朝有三省长官在政事堂合议的制度，宋明清时廷议、朝议和集议制度进一步规范化，廷议制度是中国封建社会统治阶级内部的一种“民主”制度，在封建统治中发挥了积极作用。                  </w:t>
      </w:r>
    </w:p>
    <w:p>
      <w:pPr>
        <w:widowControl/>
        <w:ind w:firstLine="4620" w:firstLineChars="220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——摘编自《国家制度与社会治理》教科书和教师用书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材料二  20世纪初，面对内外交困，清廷终于放弃了“祖宗家法不可更改”的古训，开始构建现代法律体系和司法制度的基本框架：国家体制上实行君主立宪；起草门类繁多的部门法构建新的社会秩序；创建新的独立的司法机关。晚清的法律借鉴和移植是从学习日本起步的。这些方案大都没来得及真正实施。辛亥革命后，由晚清所开启的法治进程并没有停顿，除君主立宪的政治体制被废除外，后继的中华民国在此基础上继续推进。宪法、行政法、民法、刑法、民诉法、刑诉法、法院组织法相继颁布，现代司法制度渐次推开。                                           </w:t>
      </w:r>
    </w:p>
    <w:p>
      <w:pPr>
        <w:widowControl/>
        <w:ind w:firstLine="5250" w:firstLineChars="250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——摘编自侯欣一著《近代中国法治变革回顾》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（1）根据材料一和结合所学知识，概括中国古代中央决策方式的特点，并指出其积极作用。（6分）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（2）根据材料二和结合所学知识，概括晚清民国时期法律体系建设的特点。（6分）</w:t>
      </w:r>
    </w:p>
    <w:p>
      <w:pPr>
        <w:spacing w:line="280" w:lineRule="exact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8"/>
        <w:spacing w:line="240" w:lineRule="auto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widowControl w:val="0"/>
        <w:spacing w:line="240" w:lineRule="auto"/>
        <w:jc w:val="both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20A533B"/>
    <w:rsid w:val="02357803"/>
    <w:rsid w:val="03032638"/>
    <w:rsid w:val="03E372CB"/>
    <w:rsid w:val="06AA08C2"/>
    <w:rsid w:val="07BE3D15"/>
    <w:rsid w:val="09BB4FB7"/>
    <w:rsid w:val="0F207965"/>
    <w:rsid w:val="13E62E35"/>
    <w:rsid w:val="19F747BA"/>
    <w:rsid w:val="1A1A5DD2"/>
    <w:rsid w:val="1E696309"/>
    <w:rsid w:val="1F136AA8"/>
    <w:rsid w:val="21E31EE2"/>
    <w:rsid w:val="224A55CB"/>
    <w:rsid w:val="25DC5E46"/>
    <w:rsid w:val="2929534F"/>
    <w:rsid w:val="2BF00744"/>
    <w:rsid w:val="2C3B7059"/>
    <w:rsid w:val="2DFB406F"/>
    <w:rsid w:val="2E450D6E"/>
    <w:rsid w:val="30F445E1"/>
    <w:rsid w:val="35FC7E3E"/>
    <w:rsid w:val="36153997"/>
    <w:rsid w:val="37283058"/>
    <w:rsid w:val="381912C4"/>
    <w:rsid w:val="3AAA3936"/>
    <w:rsid w:val="3C04482D"/>
    <w:rsid w:val="3DB8735D"/>
    <w:rsid w:val="44BA514C"/>
    <w:rsid w:val="45E37EBF"/>
    <w:rsid w:val="46BD28C6"/>
    <w:rsid w:val="48BF44EB"/>
    <w:rsid w:val="4B21657D"/>
    <w:rsid w:val="4B3149DB"/>
    <w:rsid w:val="4B560A3D"/>
    <w:rsid w:val="4C22343F"/>
    <w:rsid w:val="508036FB"/>
    <w:rsid w:val="50F3182D"/>
    <w:rsid w:val="5233759F"/>
    <w:rsid w:val="531A47AB"/>
    <w:rsid w:val="57F2715C"/>
    <w:rsid w:val="584C23CD"/>
    <w:rsid w:val="5CCE63AA"/>
    <w:rsid w:val="5DAB25D9"/>
    <w:rsid w:val="6004268F"/>
    <w:rsid w:val="603B2849"/>
    <w:rsid w:val="63D6054F"/>
    <w:rsid w:val="65425FF6"/>
    <w:rsid w:val="663C1D0B"/>
    <w:rsid w:val="68E2489D"/>
    <w:rsid w:val="692E3F76"/>
    <w:rsid w:val="6A3521BF"/>
    <w:rsid w:val="6A3D40D1"/>
    <w:rsid w:val="6B291B28"/>
    <w:rsid w:val="6E761971"/>
    <w:rsid w:val="6F971D37"/>
    <w:rsid w:val="6FC01CEA"/>
    <w:rsid w:val="72CF7BE5"/>
    <w:rsid w:val="73272CFD"/>
    <w:rsid w:val="736E3CDB"/>
    <w:rsid w:val="777C16D9"/>
    <w:rsid w:val="7A3031E0"/>
    <w:rsid w:val="7C875015"/>
    <w:rsid w:val="7E2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3649</Words>
  <Characters>3838</Characters>
  <Lines>33</Lines>
  <Paragraphs>9</Paragraphs>
  <TotalTime>2</TotalTime>
  <ScaleCrop>false</ScaleCrop>
  <LinksUpToDate>false</LinksUpToDate>
  <CharactersWithSpaces>4628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2024-12-09T08:59:28Z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