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bookmarkEnd w:id="0"/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变压器  远距离输电（二）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adjustRightInd w:val="0"/>
        <w:ind w:firstLine="480" w:firstLineChars="200"/>
        <w:jc w:val="left"/>
        <w:rPr>
          <w:rFonts w:hint="default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 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授课日期：202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1.30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</w:t>
      </w:r>
      <w:r>
        <w:rPr>
          <w:rFonts w:ascii="宋体" w:hAnsi="宋体" w:cs="宋体"/>
          <w:b/>
          <w:bCs/>
          <w:szCs w:val="21"/>
        </w:rPr>
        <w:t>课程标准</w:t>
      </w:r>
      <w:r>
        <w:rPr>
          <w:rFonts w:hint="eastAsia" w:ascii="宋体" w:hAnsi="宋体" w:cs="宋体"/>
          <w:b/>
          <w:bCs/>
          <w:szCs w:val="21"/>
        </w:rPr>
        <w:t>】</w:t>
      </w:r>
    </w:p>
    <w:p>
      <w:pPr>
        <w:pStyle w:val="2"/>
        <w:numPr>
          <w:ilvl w:val="0"/>
          <w:numId w:val="1"/>
        </w:numPr>
        <w:tabs>
          <w:tab w:val="left" w:pos="4500"/>
        </w:tabs>
        <w:snapToGrid w:val="0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理解变压器的原理，掌握理想变压器原、副线圈的功率关系、电压关系及电流关系，并会进行有关计算．　</w:t>
      </w:r>
    </w:p>
    <w:p>
      <w:pPr>
        <w:pStyle w:val="2"/>
        <w:numPr>
          <w:ilvl w:val="0"/>
          <w:numId w:val="1"/>
        </w:numPr>
        <w:tabs>
          <w:tab w:val="left" w:pos="4500"/>
        </w:tabs>
        <w:snapToGrid w:val="0"/>
        <w:ind w:left="0" w:leftChars="0"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能利用功率、电压、电流关系对变压器进行动态分析．　</w:t>
      </w:r>
    </w:p>
    <w:p>
      <w:pPr>
        <w:pStyle w:val="2"/>
        <w:numPr>
          <w:ilvl w:val="0"/>
          <w:numId w:val="0"/>
        </w:numPr>
        <w:tabs>
          <w:tab w:val="left" w:pos="4500"/>
        </w:tabs>
        <w:snapToGrid w:val="0"/>
        <w:ind w:left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3.会计算远距离输电问题中线路损失的功率和电压．</w:t>
      </w:r>
    </w:p>
    <w:p>
      <w:pPr>
        <w:pStyle w:val="2"/>
        <w:tabs>
          <w:tab w:val="left" w:pos="450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tabs>
          <w:tab w:val="left" w:pos="4680"/>
        </w:tabs>
        <w:snapToGrid w:val="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1．了解变压器原理</w:t>
      </w:r>
      <w:r>
        <w:rPr>
          <w:rFonts w:ascii="楷体" w:hAnsi="楷体" w:eastAsia="楷体" w:cs="Times New Roman"/>
        </w:rPr>
        <w:t>，原副线圈基本量的关系</w:t>
      </w:r>
    </w:p>
    <w:p>
      <w:pPr>
        <w:widowControl/>
        <w:spacing w:line="270" w:lineRule="exact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 了解电能</w:t>
      </w:r>
      <w:r>
        <w:rPr>
          <w:rFonts w:ascii="楷体" w:hAnsi="楷体" w:eastAsia="楷体"/>
          <w:szCs w:val="21"/>
        </w:rPr>
        <w:t>的输送</w:t>
      </w:r>
      <w:r>
        <w:rPr>
          <w:rFonts w:hint="eastAsia" w:ascii="楷体" w:hAnsi="楷体" w:eastAsia="楷体"/>
          <w:szCs w:val="21"/>
        </w:rPr>
        <w:t>以及</w:t>
      </w:r>
      <w:r>
        <w:rPr>
          <w:rFonts w:ascii="楷体" w:hAnsi="楷体" w:eastAsia="楷体"/>
          <w:szCs w:val="21"/>
        </w:rPr>
        <w:t>减少电能损失的方法</w:t>
      </w:r>
    </w:p>
    <w:p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考点三　理想变压器的动态分析</w:t>
      </w: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例1.</w:t>
      </w:r>
      <w:r>
        <w:rPr>
          <w:rFonts w:ascii="Times New Roman" w:hAnsi="Times New Roman" w:cs="Times New Roman"/>
        </w:rPr>
        <w:t>如图所示，理想变压器的原、副线圈分别接理想电流表A、理想电压表V，副线圈上通过输电线接有一个灯泡L、一个电吹风M，输电线的等效电阻为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，副线圈匝数可以通过调节滑片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改变．S断开时，灯泡L正常发光，滑片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位置不动，当S闭合时，以下说法正确的是(　　 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pict>
          <v:shape id="_x0000_s1038" o:spid="_x0000_s1038" o:spt="75" type="#_x0000_t75" style="position:absolute;left:0pt;margin-left:356.55pt;margin-top:8.3pt;height:52.5pt;width:118.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W11-45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A．电压表读数增大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B．电流表读数减小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C．等效电阻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两端电压增大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D．为使灯泡L正常发光，滑片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应向下滑动</w:t>
      </w:r>
    </w:p>
    <w:p>
      <w:pPr>
        <w:pStyle w:val="2"/>
        <w:tabs>
          <w:tab w:val="left" w:pos="4680"/>
        </w:tabs>
        <w:snapToGrid w:val="0"/>
        <w:jc w:val="left"/>
        <w:rPr>
          <w:rFonts w:hint="eastAsia" w:ascii="Times New Roman" w:hAnsi="Times New Roman" w:eastAsia="宋体" w:cs="Times New Roman"/>
          <w:b w:val="0"/>
          <w:bCs w:val="0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电压电流功率分别是原副线圈谁决定谁？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2</w:t>
      </w:r>
      <w:r>
        <w:rPr>
          <w:rFonts w:hint="eastAsia" w:hAnsi="宋体" w:cs="宋体"/>
        </w:rPr>
        <w:t>.</w:t>
      </w:r>
      <w:r>
        <w:pict>
          <v:shape id="_x0000_s1039" o:spid="_x0000_s1039" o:spt="75" type="#_x0000_t75" style="position:absolute;left:0pt;margin-left:361.8pt;margin-top:24.85pt;height:60.75pt;width:109.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W11-46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如图所示，理想变压器原线圈接在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sin(</w:t>
      </w:r>
      <w:r>
        <w:rPr>
          <w:rFonts w:ascii="Times New Roman" w:hAnsi="Times New Roman" w:cs="Times New Roman"/>
          <w:i/>
        </w:rPr>
        <w:t>ωt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)的交流电源上，副线圈接三个阻值相同的电阻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，不计电表内电阻影响．闭合开关S后(　　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A．电流表A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的示数减小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B．电压表V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的示数减小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C．电压表V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的示数不变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D．电流表A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的示数不变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宋体" w:cs="Times New Roman"/>
          <w:b w:val="0"/>
          <w:bCs w:val="0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变压器的输入不变，对副线圈而言，哪些物理量不变？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考点四　远距离输电问题</w:t>
      </w: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t>.</w:t>
      </w:r>
      <w:r>
        <w:rPr>
          <w:rFonts w:ascii="Times New Roman" w:hAnsi="Times New Roman" w:cs="Times New Roman"/>
        </w:rPr>
        <w:t>如图所示，某小型水电站发电机的输出功率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＝100 kW，发电机的电压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＝250 V，经变压器升压后向远处输电，输电线总电阻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线</w:t>
      </w:r>
      <w:r>
        <w:rPr>
          <w:rFonts w:ascii="Times New Roman" w:hAnsi="Times New Roman" w:cs="Times New Roman"/>
        </w:rPr>
        <w:t>＝8 Ω，在用户端用降压变压器把电压降为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＝220 V．已知输电线上损失的功率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线</w:t>
      </w:r>
      <w:r>
        <w:rPr>
          <w:rFonts w:ascii="Times New Roman" w:hAnsi="Times New Roman" w:cs="Times New Roman"/>
        </w:rPr>
        <w:t>＝5 kW，假设两个变压器均是理想变压器，下列说法正确的是(　　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pict>
          <v:shape id="_x0000_s1040" o:spid="_x0000_s1040" o:spt="75" type="#_x0000_t75" style="position:absolute;left:0pt;margin-left:263.55pt;margin-top:2.55pt;height:82.5pt;width:210.7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W11-49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A．发电机输出的电流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＝40 A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B．输电线上的电流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线</w:t>
      </w:r>
      <w:r>
        <w:rPr>
          <w:rFonts w:ascii="Times New Roman" w:hAnsi="Times New Roman" w:cs="Times New Roman"/>
        </w:rPr>
        <w:t>＝625 A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C．降压变压器的匝数比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＝190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11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D．用户得到的电流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＝455 A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2" w:firstLineChars="200"/>
        <w:jc w:val="left"/>
        <w:rPr>
          <w:rFonts w:ascii="Times New Roman" w:hAnsi="Times New Roman" w:eastAsia="黑体" w:cs="Times New Roma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升压变压器和降压变压器原副线圈不变的物理量各自有哪些？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4</w:t>
      </w:r>
      <w:r>
        <w:rPr>
          <w:rFonts w:hint="eastAsia" w:hAnsi="宋体" w:cs="宋体"/>
        </w:rPr>
        <w:t>.</w:t>
      </w:r>
      <w:r>
        <w:rPr>
          <w:rFonts w:ascii="Times New Roman" w:hAnsi="Times New Roman" w:cs="Times New Roman"/>
        </w:rPr>
        <w:t>采用220 kV高压向远方的城市输电．当输送功率一定时，为使输电线上损耗的功率减小为原来的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，输电电压应变为(　　 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A．55 kV　　　　　　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B．110 kV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C．440 kV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D．880 kV</w:t>
      </w: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jc w:val="left"/>
        <w:rPr>
          <w:rFonts w:ascii="Times New Roman" w:hAnsi="Times New Roman" w:cs="Times New Roman"/>
          <w:lang w:val="pl-PL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输电线上损失掉的功率的表达式如何？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pict>
          <v:shape id="_x0000_s1041" o:spid="_x0000_s1041" o:spt="75" type="#_x0000_t75" style="position:absolute;left:0pt;margin-left:345.3pt;margin-top:49.5pt;height:70.5pt;width:136.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W11-47"/>
            <o:lock v:ext="edit" aspectratio="t"/>
            <w10:wrap type="square"/>
          </v:shape>
        </w:pict>
      </w:r>
      <w:r>
        <w:rPr>
          <w:rFonts w:hint="eastAsia" w:hAnsi="宋体" w:cs="宋体"/>
          <w:b/>
          <w:bCs/>
        </w:rPr>
        <w:t>1、</w:t>
      </w:r>
      <w:r>
        <w:rPr>
          <w:rFonts w:ascii="Times New Roman" w:hAnsi="Times New Roman" w:cs="Times New Roman"/>
        </w:rPr>
        <w:t>如图是原、副线圈都有中心抽头(匝数一半处)的理想变压器，原线圈通过单刀双掷开关S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与电流表连接，副线圈通过另一单刀双掷开关S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与定值电阻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相连接，通过S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可以改变原、副线圈的匝数．现在原线圈加一电压有效值为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的正弦交流电，当S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时，电流表的示数为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，下列说法正确的是(　　 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A．当S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时，电流为2</w:t>
      </w:r>
      <w:r>
        <w:rPr>
          <w:rFonts w:ascii="Times New Roman" w:hAnsi="Times New Roman" w:cs="Times New Roman"/>
          <w:i/>
        </w:rPr>
        <w:t>I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B．当S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时，电流为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I,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时，电流为4</w:t>
      </w:r>
      <w:r>
        <w:rPr>
          <w:rFonts w:ascii="Times New Roman" w:hAnsi="Times New Roman" w:cs="Times New Roman"/>
          <w:i/>
        </w:rPr>
        <w:t>I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时，电流为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I,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(多选)特高压输电可使输送中的电能损耗和电压损失大幅降低．我国已成功掌握并实际应用了特高压输电技术．假设从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处采用550 kV的超高压向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处输电，输电线上损耗的电功率为Δ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，到达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处时电压下降了Δ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.在保持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处输送的电功率和输电线电阻都不变的条件下，改用1 100 kV特高压输电．输电线上损耗的电功率变为Δ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，到达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处时电压下降了Δ</w:t>
      </w:r>
      <w:r>
        <w:rPr>
          <w:rFonts w:ascii="Times New Roman" w:hAnsi="Times New Roman" w:cs="Times New Roman"/>
          <w:i/>
        </w:rPr>
        <w:t>U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.不考虑其他因素的影响，则(　　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A．Δ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B．Δ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P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C．Δ</w:t>
      </w:r>
      <w:r>
        <w:rPr>
          <w:rFonts w:ascii="Times New Roman" w:hAnsi="Times New Roman" w:cs="Times New Roman"/>
          <w:i/>
        </w:rPr>
        <w:t>U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D．Δ</w:t>
      </w:r>
      <w:r>
        <w:rPr>
          <w:rFonts w:ascii="Times New Roman" w:hAnsi="Times New Roman" w:cs="Times New Roman"/>
          <w:i/>
        </w:rPr>
        <w:t>U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U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如图所示，一个小型水电站，其交流发电机的输出电压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一定，通过理想升压变压器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和理想降压变压器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向远处用户供电，输电线的总电阻为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的输入电压和输入功率分别为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，它的输出电压和输出功率分别为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的输入电压和输入功率分别为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，它的输出电压和输出功率分别为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.下列说法正确的是(　　 )</w:t>
      </w:r>
    </w:p>
    <w:p>
      <w:pPr>
        <w:pStyle w:val="2"/>
        <w:tabs>
          <w:tab w:val="left" w:pos="4680"/>
        </w:tabs>
        <w:snapToGrid w:val="0"/>
        <w:ind w:firstLine="420" w:firstLineChars="200"/>
        <w:jc w:val="center"/>
        <w:rPr>
          <w:rFonts w:ascii="Times New Roman" w:hAnsi="Times New Roman" w:cs="Times New Roman"/>
        </w:rPr>
      </w:pPr>
      <w:r>
        <w:pict>
          <v:shape id="_x0000_s1042" o:spid="_x0000_s1042" o:spt="75" type="#_x0000_t75" style="position:absolute;left:0pt;margin-left:258.3pt;margin-top:7.25pt;height:53.25pt;width:201.7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W11-50"/>
            <o:lock v:ext="edit" aspectratio="t"/>
            <w10:wrap type="square"/>
          </v:shape>
        </w:pic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A．当用户的用电器增多时，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减小，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减小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B．当用户的用电器增多时，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增大，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减小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C．输电线上损失的功率为Δ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</w:rPr>
        <w:instrText xml:space="preserve">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D．要减小线路的损耗，应增大升压变压器的匝数比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，同时应增大降压变压器的匝数比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2" w:firstLineChars="200"/>
        <w:rPr>
          <w:rFonts w:hAnsi="宋体" w:cs="宋体"/>
          <w:b/>
          <w:bCs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jc w:val="left"/>
        <w:rPr>
          <w:rFonts w:ascii="Times New Roman" w:hAnsi="Times New Roman" w:eastAsia="黑体"/>
        </w:rPr>
      </w:pPr>
      <w:r>
        <w:rPr>
          <w:rFonts w:hint="eastAsia" w:hAnsi="宋体" w:cs="宋体"/>
          <w:b/>
          <w:bCs/>
        </w:rPr>
        <w:t>【导思总结】</w:t>
      </w:r>
      <w:r>
        <w:rPr>
          <w:rFonts w:ascii="Times New Roman" w:hAnsi="Times New Roman" w:eastAsia="黑体"/>
        </w:rPr>
        <w:t>　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输电线路功率损失的计算方法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5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  <w:i/>
              </w:rPr>
              <w:t>P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损</w:t>
            </w:r>
            <w:r>
              <w:rPr>
                <w:rFonts w:ascii="Times New Roman" w:hAnsi="Times New Roman" w:eastAsia="仿宋_GB2312" w:cs="Times New Roman"/>
              </w:rPr>
              <w:t>＝</w:t>
            </w:r>
            <w:r>
              <w:rPr>
                <w:rFonts w:ascii="Times New Roman" w:hAnsi="Times New Roman" w:eastAsia="仿宋_GB2312" w:cs="Times New Roman"/>
                <w:i/>
              </w:rPr>
              <w:t>P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－</w:t>
            </w:r>
            <w:r>
              <w:rPr>
                <w:rFonts w:ascii="Times New Roman" w:hAnsi="Times New Roman" w:eastAsia="仿宋_GB2312" w:cs="Times New Roman"/>
                <w:i/>
              </w:rPr>
              <w:t>P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4</w:t>
            </w:r>
          </w:p>
        </w:tc>
        <w:tc>
          <w:tcPr>
            <w:tcW w:w="504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i/>
              </w:rPr>
              <w:t>P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为输送的功率，</w:t>
            </w:r>
            <w:r>
              <w:rPr>
                <w:rFonts w:ascii="Times New Roman" w:hAnsi="Times New Roman" w:eastAsia="仿宋_GB2312" w:cs="Times New Roman"/>
                <w:i/>
              </w:rPr>
              <w:t>P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4</w:t>
            </w:r>
            <w:r>
              <w:rPr>
                <w:rFonts w:ascii="Times New Roman" w:hAnsi="Times New Roman" w:eastAsia="仿宋_GB2312" w:cs="Times New Roman"/>
              </w:rPr>
              <w:t>为用户得到的功率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  <w:i/>
              </w:rPr>
              <w:t>P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损</w:t>
            </w:r>
            <w:r>
              <w:rPr>
                <w:rFonts w:ascii="Times New Roman" w:hAnsi="Times New Roman" w:eastAsia="仿宋_GB2312" w:cs="Times New Roman"/>
              </w:rPr>
              <w:t>＝</w:t>
            </w:r>
            <w:r>
              <w:rPr>
                <w:rFonts w:ascii="Times New Roman" w:hAnsi="Times New Roman" w:eastAsia="仿宋_GB2312" w:cs="Times New Roman"/>
                <w:i/>
              </w:rPr>
              <w:t>I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eastAsia="仿宋_GB2312" w:cs="Times New Roman"/>
              </w:rPr>
              <w:instrText xml:space="preserve">o\al(</w:instrText>
            </w:r>
            <w:r>
              <w:rPr>
                <w:rFonts w:ascii="Times New Roman" w:hAnsi="Times New Roman" w:eastAsia="仿宋_GB2312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eastAsia="仿宋_GB2312" w:cs="Times New Roman"/>
              </w:rPr>
              <w:instrText xml:space="preserve">,</w:instrTex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instrText xml:space="preserve">线</w:instrText>
            </w:r>
            <w:r>
              <w:rPr>
                <w:rFonts w:ascii="Times New Roman" w:hAnsi="Times New Roman" w:eastAsia="仿宋_GB2312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i/>
              </w:rPr>
              <w:t>R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线</w:t>
            </w:r>
          </w:p>
        </w:tc>
        <w:tc>
          <w:tcPr>
            <w:tcW w:w="504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i/>
              </w:rPr>
              <w:t>I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线</w:t>
            </w:r>
            <w:r>
              <w:rPr>
                <w:rFonts w:ascii="Times New Roman" w:hAnsi="Times New Roman" w:eastAsia="仿宋_GB2312" w:cs="Times New Roman"/>
              </w:rPr>
              <w:t>为输电线路上的电流，</w:t>
            </w:r>
            <w:r>
              <w:rPr>
                <w:rFonts w:ascii="Times New Roman" w:hAnsi="Times New Roman" w:eastAsia="仿宋_GB2312" w:cs="Times New Roman"/>
                <w:i/>
              </w:rPr>
              <w:t>R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线</w:t>
            </w:r>
            <w:r>
              <w:rPr>
                <w:rFonts w:ascii="Times New Roman" w:hAnsi="Times New Roman" w:eastAsia="仿宋_GB2312" w:cs="Times New Roman"/>
              </w:rPr>
              <w:t>为线路电阻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  <w:i/>
              </w:rPr>
              <w:t>P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损</w:t>
            </w:r>
            <w:r>
              <w:rPr>
                <w:rFonts w:ascii="Times New Roman" w:hAnsi="Times New Roman" w:eastAsia="仿宋_GB2312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eastAsia="仿宋_GB2312" w:cs="Times New Roman"/>
              </w:rPr>
              <w:instrText xml:space="preserve">f(Δ</w:instrText>
            </w:r>
            <w:r>
              <w:rPr>
                <w:rFonts w:ascii="Times New Roman" w:hAnsi="Times New Roman" w:eastAsia="仿宋_GB2312" w:cs="Times New Roman"/>
                <w:i/>
              </w:rPr>
              <w:instrText xml:space="preserve">U</w:instrText>
            </w:r>
            <w:r>
              <w:rPr>
                <w:rFonts w:ascii="Times New Roman" w:hAnsi="Times New Roman" w:eastAsia="仿宋_GB2312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eastAsia="仿宋_GB2312" w:cs="Times New Roman"/>
                <w:i/>
              </w:rPr>
              <w:instrText xml:space="preserve">,R</w:instrTex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instrText xml:space="preserve">线</w:instrText>
            </w:r>
            <w:r>
              <w:rPr>
                <w:rFonts w:ascii="Times New Roman" w:hAnsi="Times New Roman" w:eastAsia="仿宋_GB2312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</w:tc>
        <w:tc>
          <w:tcPr>
            <w:tcW w:w="504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Δ</w:t>
            </w:r>
            <w:r>
              <w:rPr>
                <w:rFonts w:ascii="Times New Roman" w:hAnsi="Times New Roman" w:eastAsia="仿宋_GB2312" w:cs="Times New Roman"/>
                <w:i/>
              </w:rPr>
              <w:t>U</w:t>
            </w:r>
            <w:r>
              <w:rPr>
                <w:rFonts w:ascii="Times New Roman" w:hAnsi="Times New Roman" w:eastAsia="仿宋_GB2312" w:cs="Times New Roman"/>
              </w:rPr>
              <w:t>为输电线路上损失的电压，不要与</w:t>
            </w:r>
            <w:r>
              <w:rPr>
                <w:rFonts w:ascii="Times New Roman" w:hAnsi="Times New Roman" w:eastAsia="仿宋_GB2312" w:cs="Times New Roman"/>
                <w:i/>
              </w:rPr>
              <w:t>U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</w:rPr>
              <w:t>、</w:t>
            </w:r>
            <w:r>
              <w:rPr>
                <w:rFonts w:ascii="Times New Roman" w:hAnsi="Times New Roman" w:eastAsia="仿宋_GB2312" w:cs="Times New Roman"/>
                <w:i/>
              </w:rPr>
              <w:t>U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相混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eastAsia="仿宋_GB2312" w:cs="Times New Roman"/>
                <w:i/>
              </w:rPr>
            </w:pPr>
            <w:r>
              <w:rPr>
                <w:rFonts w:ascii="Times New Roman" w:hAnsi="Times New Roman" w:eastAsia="仿宋_GB2312" w:cs="Times New Roman"/>
                <w:i/>
              </w:rPr>
              <w:t>P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损</w:t>
            </w:r>
            <w:r>
              <w:rPr>
                <w:rFonts w:ascii="Times New Roman" w:hAnsi="Times New Roman" w:eastAsia="仿宋_GB2312" w:cs="Times New Roman"/>
              </w:rPr>
              <w:t>＝Δ</w:t>
            </w:r>
            <w:r>
              <w:rPr>
                <w:rFonts w:ascii="Times New Roman" w:hAnsi="Times New Roman" w:eastAsia="仿宋_GB2312" w:cs="Times New Roman"/>
                <w:i/>
              </w:rPr>
              <w:t>U</w:t>
            </w:r>
            <w:r>
              <w:rPr>
                <w:rFonts w:ascii="Times New Roman" w:hAnsi="Times New Roman" w:eastAsia="仿宋_GB2312" w:cs="Times New Roman"/>
              </w:rPr>
              <w:t>·</w:t>
            </w:r>
            <w:r>
              <w:rPr>
                <w:rFonts w:ascii="Times New Roman" w:hAnsi="Times New Roman" w:eastAsia="仿宋_GB2312" w:cs="Times New Roman"/>
                <w:i/>
              </w:rPr>
              <w:t>I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线</w:t>
            </w:r>
          </w:p>
        </w:tc>
        <w:tc>
          <w:tcPr>
            <w:tcW w:w="504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注意：Δ</w:t>
            </w:r>
            <w:r>
              <w:rPr>
                <w:rFonts w:ascii="Times New Roman" w:hAnsi="Times New Roman" w:eastAsia="仿宋_GB2312" w:cs="Times New Roman"/>
                <w:i/>
              </w:rPr>
              <w:t>U</w:t>
            </w:r>
            <w:r>
              <w:rPr>
                <w:rFonts w:ascii="Times New Roman" w:hAnsi="Times New Roman" w:eastAsia="仿宋_GB2312" w:cs="Times New Roman"/>
              </w:rPr>
              <w:t>不要错代入</w:t>
            </w:r>
            <w:r>
              <w:rPr>
                <w:rFonts w:ascii="Times New Roman" w:hAnsi="Times New Roman" w:eastAsia="仿宋_GB2312" w:cs="Times New Roman"/>
                <w:i/>
              </w:rPr>
              <w:t>U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</w:rPr>
              <w:t>或</w:t>
            </w:r>
            <w:r>
              <w:rPr>
                <w:rFonts w:ascii="Times New Roman" w:hAnsi="Times New Roman" w:eastAsia="仿宋_GB2312" w:cs="Times New Roman"/>
                <w:i/>
              </w:rPr>
              <w:t>U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3</w:t>
            </w:r>
          </w:p>
        </w:tc>
      </w:tr>
    </w:tbl>
    <w:p>
      <w:pPr>
        <w:pStyle w:val="2"/>
        <w:tabs>
          <w:tab w:val="left" w:pos="4680"/>
        </w:tabs>
        <w:snapToGrid w:val="0"/>
        <w:rPr>
          <w:rFonts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补充《限时规范训练》</w:t>
      </w:r>
    </w:p>
    <w:p>
      <w:pPr>
        <w:rPr>
          <w:rFonts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90B847"/>
    <w:multiLevelType w:val="singleLevel"/>
    <w:tmpl w:val="8D90B84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DdlMzk4OWNkOGU3N2JjNDA0NWM1NWE2NzkzNGYifQ=="/>
  </w:docVars>
  <w:rsids>
    <w:rsidRoot w:val="5E2B20D5"/>
    <w:rsid w:val="001322E7"/>
    <w:rsid w:val="00141644"/>
    <w:rsid w:val="00334CE5"/>
    <w:rsid w:val="004770D8"/>
    <w:rsid w:val="005048DD"/>
    <w:rsid w:val="00625DA9"/>
    <w:rsid w:val="00691873"/>
    <w:rsid w:val="00842E8A"/>
    <w:rsid w:val="00981283"/>
    <w:rsid w:val="009D7082"/>
    <w:rsid w:val="00A31343"/>
    <w:rsid w:val="00A750E1"/>
    <w:rsid w:val="00A94C44"/>
    <w:rsid w:val="00B4655F"/>
    <w:rsid w:val="00B964CF"/>
    <w:rsid w:val="00BF0C8B"/>
    <w:rsid w:val="00C67883"/>
    <w:rsid w:val="00D1130F"/>
    <w:rsid w:val="00DC52B4"/>
    <w:rsid w:val="00DD09B4"/>
    <w:rsid w:val="00DF756D"/>
    <w:rsid w:val="00E81DD6"/>
    <w:rsid w:val="00F87AC3"/>
    <w:rsid w:val="04BC17BB"/>
    <w:rsid w:val="07D5400A"/>
    <w:rsid w:val="07FE159B"/>
    <w:rsid w:val="17323110"/>
    <w:rsid w:val="3DEC6250"/>
    <w:rsid w:val="4E157E6D"/>
    <w:rsid w:val="5E2B20D5"/>
    <w:rsid w:val="645D4A57"/>
    <w:rsid w:val="6F2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纯文本 Char"/>
    <w:basedOn w:val="7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1718</Words>
  <Characters>1960</Characters>
  <Lines>15</Lines>
  <Paragraphs>4</Paragraphs>
  <TotalTime>0</TotalTime>
  <ScaleCrop>false</ScaleCrop>
  <LinksUpToDate>false</LinksUpToDate>
  <CharactersWithSpaces>2066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Administrator</cp:lastModifiedBy>
  <dcterms:modified xsi:type="dcterms:W3CDTF">2023-11-29T02:55:53Z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C8685ACABB9F40BB9A93EB97C7619866</vt:lpwstr>
  </property>
</Properties>
</file>